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81D" w:rsidRDefault="00BC081D">
      <w:r>
        <w:rPr>
          <w:noProof/>
          <w:lang w:eastAsia="en-GB"/>
        </w:rPr>
        <mc:AlternateContent>
          <mc:Choice Requires="wps">
            <w:drawing>
              <wp:anchor distT="45720" distB="45720" distL="114300" distR="114300" simplePos="0" relativeHeight="251659264" behindDoc="0" locked="0" layoutInCell="1" allowOverlap="1" wp14:anchorId="22225D80" wp14:editId="1B69C55A">
                <wp:simplePos x="0" y="0"/>
                <wp:positionH relativeFrom="column">
                  <wp:posOffset>-247650</wp:posOffset>
                </wp:positionH>
                <wp:positionV relativeFrom="paragraph">
                  <wp:posOffset>342900</wp:posOffset>
                </wp:positionV>
                <wp:extent cx="3048000" cy="723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23900"/>
                        </a:xfrm>
                        <a:prstGeom prst="rect">
                          <a:avLst/>
                        </a:prstGeom>
                        <a:solidFill>
                          <a:srgbClr val="FFFFFF"/>
                        </a:solidFill>
                        <a:ln w="9525">
                          <a:noFill/>
                          <a:miter lim="800000"/>
                          <a:headEnd/>
                          <a:tailEnd/>
                        </a:ln>
                      </wps:spPr>
                      <wps:txbx>
                        <w:txbxContent>
                          <w:p w:rsidR="00BC081D" w:rsidRDefault="00F14304">
                            <w:r>
                              <w:rPr>
                                <w:rFonts w:ascii="Arial" w:hAnsi="Arial" w:cs="Arial"/>
                                <w:b/>
                                <w:noProof/>
                                <w:szCs w:val="24"/>
                                <w:lang w:eastAsia="en-GB"/>
                              </w:rPr>
                              <w:drawing>
                                <wp:inline distT="0" distB="0" distL="0" distR="0" wp14:anchorId="38BCCB0A" wp14:editId="3DC6231D">
                                  <wp:extent cx="2856230" cy="317359"/>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6230" cy="3173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25D80" id="_x0000_t202" coordsize="21600,21600" o:spt="202" path="m,l,21600r21600,l21600,xe">
                <v:stroke joinstyle="miter"/>
                <v:path gradientshapeok="t" o:connecttype="rect"/>
              </v:shapetype>
              <v:shape id="Text Box 2" o:spid="_x0000_s1026" type="#_x0000_t202" style="position:absolute;margin-left:-19.5pt;margin-top:27pt;width:240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" stroked="f">
                <v:textbox>
                  <w:txbxContent>
                    <w:p w:rsidR="00BC081D" w:rsidRDefault="00F14304">
                      <w:r>
                        <w:rPr>
                          <w:rFonts w:ascii="Arial" w:hAnsi="Arial" w:cs="Arial"/>
                          <w:b/>
                          <w:noProof/>
                          <w:szCs w:val="24"/>
                          <w:lang w:eastAsia="en-GB"/>
                        </w:rPr>
                        <w:drawing>
                          <wp:inline distT="0" distB="0" distL="0" distR="0" wp14:anchorId="38BCCB0A" wp14:editId="3DC6231D">
                            <wp:extent cx="2856230" cy="317359"/>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6230" cy="317359"/>
                                    </a:xfrm>
                                    <a:prstGeom prst="rect">
                                      <a:avLst/>
                                    </a:prstGeom>
                                    <a:noFill/>
                                    <a:ln>
                                      <a:noFill/>
                                    </a:ln>
                                  </pic:spPr>
                                </pic:pic>
                              </a:graphicData>
                            </a:graphic>
                          </wp:inline>
                        </w:drawing>
                      </w:r>
                    </w:p>
                  </w:txbxContent>
                </v:textbox>
                <w10:wrap type="square"/>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1919647" wp14:editId="593F08AB">
                <wp:simplePos x="0" y="0"/>
                <wp:positionH relativeFrom="column">
                  <wp:posOffset>3457575</wp:posOffset>
                </wp:positionH>
                <wp:positionV relativeFrom="paragraph">
                  <wp:posOffset>-1</wp:posOffset>
                </wp:positionV>
                <wp:extent cx="27241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724150"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081D" w:rsidRDefault="00F14304">
                            <w:r>
                              <w:t xml:space="preserve">          </w:t>
                            </w:r>
                            <w:r w:rsidR="00BC081D" w:rsidRPr="00450469">
                              <w:rPr>
                                <w:noProof/>
                                <w:lang w:eastAsia="en-GB"/>
                              </w:rPr>
                              <w:drawing>
                                <wp:inline distT="0" distB="0" distL="0" distR="0" wp14:anchorId="2F515857" wp14:editId="5EB6BC59">
                                  <wp:extent cx="1828800" cy="600075"/>
                                  <wp:effectExtent l="0" t="0" r="0" b="9525"/>
                                  <wp:docPr id="7" name="Picture 7" descr="C:\Documents and Settings\cherf\Local Settings\Temporary Internet Files\Content.Word\Children in Ca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herf\Local Settings\Temporary Internet Files\Content.Word\Children in Care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6000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19647" id="_x0000_s1027" type="#_x0000_t202" style="position:absolute;margin-left:272.25pt;margin-top:0;width:214.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" fillcolor="white [3201]" stroked="f" strokeweight=".5pt">
                <v:textbox>
                  <w:txbxContent>
                    <w:p w:rsidR="00BC081D" w:rsidRDefault="00F14304">
                      <w:r>
                        <w:t xml:space="preserve">          </w:t>
                      </w:r>
                      <w:r w:rsidR="00BC081D" w:rsidRPr="00450469">
                        <w:rPr>
                          <w:noProof/>
                          <w:lang w:eastAsia="en-GB"/>
                        </w:rPr>
                        <w:drawing>
                          <wp:inline distT="0" distB="0" distL="0" distR="0" wp14:anchorId="2F515857" wp14:editId="5EB6BC59">
                            <wp:extent cx="1828800" cy="600075"/>
                            <wp:effectExtent l="0" t="0" r="0" b="9525"/>
                            <wp:docPr id="7" name="Picture 7" descr="C:\Documents and Settings\cherf\Local Settings\Temporary Internet Files\Content.Word\Children in Ca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herf\Local Settings\Temporary Internet Files\Content.Word\Children in Care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600075"/>
                                    </a:xfrm>
                                    <a:prstGeom prst="rect">
                                      <a:avLst/>
                                    </a:prstGeom>
                                    <a:noFill/>
                                    <a:ln>
                                      <a:noFill/>
                                    </a:ln>
                                  </pic:spPr>
                                </pic:pic>
                              </a:graphicData>
                            </a:graphic>
                          </wp:inline>
                        </w:drawing>
                      </w:r>
                    </w:p>
                  </w:txbxContent>
                </v:textbox>
              </v:shape>
            </w:pict>
          </mc:Fallback>
        </mc:AlternateContent>
      </w:r>
    </w:p>
    <w:p w:rsidR="003C705D" w:rsidRDefault="003C70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34E7A" w:rsidRPr="00334E7A" w:rsidTr="001B4160">
        <w:tc>
          <w:tcPr>
            <w:tcW w:w="9016" w:type="dxa"/>
          </w:tcPr>
          <w:p w:rsidR="0053124F" w:rsidRDefault="00334E7A" w:rsidP="008D7FD0">
            <w:pPr>
              <w:jc w:val="center"/>
              <w:rPr>
                <w:b/>
                <w:sz w:val="28"/>
                <w:szCs w:val="28"/>
              </w:rPr>
            </w:pPr>
            <w:r w:rsidRPr="00334E7A">
              <w:rPr>
                <w:b/>
                <w:sz w:val="28"/>
                <w:szCs w:val="28"/>
              </w:rPr>
              <w:t xml:space="preserve">Pupil Premium Grant for Norfolk’s looked after children – </w:t>
            </w:r>
          </w:p>
          <w:p w:rsidR="008D7FD0" w:rsidRDefault="008D7FD0" w:rsidP="008D7FD0">
            <w:pPr>
              <w:jc w:val="center"/>
              <w:rPr>
                <w:b/>
                <w:sz w:val="28"/>
                <w:szCs w:val="28"/>
              </w:rPr>
            </w:pPr>
            <w:r>
              <w:rPr>
                <w:b/>
                <w:sz w:val="28"/>
                <w:szCs w:val="28"/>
              </w:rPr>
              <w:t>Frequently Asked Questions</w:t>
            </w:r>
          </w:p>
          <w:p w:rsidR="008D7FD0" w:rsidRDefault="008D7FD0" w:rsidP="008D7FD0">
            <w:pPr>
              <w:jc w:val="center"/>
              <w:rPr>
                <w:b/>
                <w:sz w:val="28"/>
                <w:szCs w:val="28"/>
              </w:rPr>
            </w:pPr>
          </w:p>
          <w:p w:rsidR="008D7FD0" w:rsidRPr="008D7FD0" w:rsidRDefault="008D7FD0" w:rsidP="008D7FD0">
            <w:pPr>
              <w:rPr>
                <w:b/>
                <w:sz w:val="24"/>
                <w:szCs w:val="24"/>
              </w:rPr>
            </w:pPr>
            <w:r w:rsidRPr="008D7FD0">
              <w:rPr>
                <w:b/>
                <w:sz w:val="24"/>
                <w:szCs w:val="24"/>
              </w:rPr>
              <w:t>What happens if a child moves school within a school term?</w:t>
            </w:r>
          </w:p>
          <w:p w:rsidR="008D7FD0" w:rsidRPr="008D7FD0" w:rsidRDefault="008D7FD0" w:rsidP="008D7FD0">
            <w:pPr>
              <w:rPr>
                <w:b/>
                <w:sz w:val="24"/>
                <w:szCs w:val="24"/>
              </w:rPr>
            </w:pPr>
          </w:p>
          <w:p w:rsidR="008D7FD0" w:rsidRPr="008D7FD0" w:rsidRDefault="00FE1A43" w:rsidP="008D7FD0">
            <w:pPr>
              <w:rPr>
                <w:sz w:val="24"/>
                <w:szCs w:val="24"/>
              </w:rPr>
            </w:pPr>
            <w:r>
              <w:rPr>
                <w:sz w:val="24"/>
                <w:szCs w:val="24"/>
              </w:rPr>
              <w:t>Any payments of £600 made as a result of completion and sign off of the termly PEP w</w:t>
            </w:r>
            <w:r w:rsidR="00916FF1">
              <w:rPr>
                <w:sz w:val="24"/>
                <w:szCs w:val="24"/>
              </w:rPr>
              <w:t>ould</w:t>
            </w:r>
            <w:r>
              <w:rPr>
                <w:sz w:val="24"/>
                <w:szCs w:val="24"/>
              </w:rPr>
              <w:t xml:space="preserve"> </w:t>
            </w:r>
            <w:r w:rsidR="008D7FD0" w:rsidRPr="008D7FD0">
              <w:rPr>
                <w:sz w:val="24"/>
                <w:szCs w:val="24"/>
              </w:rPr>
              <w:t xml:space="preserve">not </w:t>
            </w:r>
            <w:r>
              <w:rPr>
                <w:sz w:val="24"/>
                <w:szCs w:val="24"/>
              </w:rPr>
              <w:t xml:space="preserve">be </w:t>
            </w:r>
            <w:r w:rsidR="008D7FD0" w:rsidRPr="008D7FD0">
              <w:rPr>
                <w:sz w:val="24"/>
                <w:szCs w:val="24"/>
              </w:rPr>
              <w:t>recoup</w:t>
            </w:r>
            <w:r>
              <w:rPr>
                <w:sz w:val="24"/>
                <w:szCs w:val="24"/>
              </w:rPr>
              <w:t>ed</w:t>
            </w:r>
            <w:r w:rsidR="008D7FD0" w:rsidRPr="008D7FD0">
              <w:rPr>
                <w:sz w:val="24"/>
                <w:szCs w:val="24"/>
              </w:rPr>
              <w:t xml:space="preserve"> where a child moves within a school term. However</w:t>
            </w:r>
            <w:r>
              <w:rPr>
                <w:sz w:val="24"/>
                <w:szCs w:val="24"/>
              </w:rPr>
              <w:t>, if</w:t>
            </w:r>
            <w:r w:rsidR="005906CD">
              <w:rPr>
                <w:sz w:val="24"/>
                <w:szCs w:val="24"/>
              </w:rPr>
              <w:t xml:space="preserve"> </w:t>
            </w:r>
            <w:r w:rsidR="00916FF1">
              <w:rPr>
                <w:sz w:val="24"/>
                <w:szCs w:val="24"/>
              </w:rPr>
              <w:t xml:space="preserve">the school has received additional funding as a result of an exceptional funding application the Virtual School reserves the right to recoup any monies not utilised. Each case will be dealt with separately.  </w:t>
            </w:r>
          </w:p>
          <w:p w:rsidR="008D7FD0" w:rsidRPr="008D7FD0" w:rsidRDefault="008D7FD0" w:rsidP="008D7FD0">
            <w:pPr>
              <w:rPr>
                <w:sz w:val="24"/>
                <w:szCs w:val="24"/>
              </w:rPr>
            </w:pPr>
          </w:p>
          <w:p w:rsidR="008D7FD0" w:rsidRDefault="008D7FD0" w:rsidP="008D7FD0">
            <w:pPr>
              <w:rPr>
                <w:sz w:val="24"/>
                <w:szCs w:val="24"/>
              </w:rPr>
            </w:pPr>
            <w:r w:rsidRPr="008D7FD0">
              <w:rPr>
                <w:sz w:val="24"/>
                <w:szCs w:val="24"/>
              </w:rPr>
              <w:t xml:space="preserve">The receiving school </w:t>
            </w:r>
            <w:r w:rsidR="00D150D9">
              <w:rPr>
                <w:sz w:val="24"/>
                <w:szCs w:val="24"/>
              </w:rPr>
              <w:t>can submit</w:t>
            </w:r>
            <w:r w:rsidRPr="008D7FD0">
              <w:rPr>
                <w:sz w:val="24"/>
                <w:szCs w:val="24"/>
              </w:rPr>
              <w:t xml:space="preserve"> a</w:t>
            </w:r>
            <w:r w:rsidR="00D150D9">
              <w:rPr>
                <w:sz w:val="24"/>
                <w:szCs w:val="24"/>
              </w:rPr>
              <w:t xml:space="preserve">n exceptional </w:t>
            </w:r>
            <w:r w:rsidRPr="008D7FD0">
              <w:rPr>
                <w:sz w:val="24"/>
                <w:szCs w:val="24"/>
              </w:rPr>
              <w:t xml:space="preserve">claim for funding, based on the targets set within the </w:t>
            </w:r>
            <w:r w:rsidR="00D150D9">
              <w:rPr>
                <w:sz w:val="24"/>
                <w:szCs w:val="24"/>
              </w:rPr>
              <w:t xml:space="preserve">new </w:t>
            </w:r>
            <w:r w:rsidRPr="008D7FD0">
              <w:rPr>
                <w:sz w:val="24"/>
                <w:szCs w:val="24"/>
              </w:rPr>
              <w:t xml:space="preserve">PEP.  </w:t>
            </w:r>
          </w:p>
          <w:p w:rsidR="005906CD" w:rsidRDefault="005906CD" w:rsidP="008D7FD0">
            <w:pPr>
              <w:rPr>
                <w:sz w:val="24"/>
                <w:szCs w:val="24"/>
              </w:rPr>
            </w:pPr>
          </w:p>
          <w:p w:rsidR="005906CD" w:rsidRDefault="005906CD" w:rsidP="008D7FD0">
            <w:pPr>
              <w:rPr>
                <w:b/>
                <w:sz w:val="24"/>
                <w:szCs w:val="24"/>
              </w:rPr>
            </w:pPr>
            <w:r w:rsidRPr="005906CD">
              <w:rPr>
                <w:b/>
                <w:sz w:val="24"/>
                <w:szCs w:val="24"/>
              </w:rPr>
              <w:t xml:space="preserve">What happens if a pupil new to care joins the school during the term? </w:t>
            </w:r>
          </w:p>
          <w:p w:rsidR="00916FF1" w:rsidRDefault="00916FF1" w:rsidP="008D7FD0">
            <w:pPr>
              <w:rPr>
                <w:b/>
                <w:sz w:val="24"/>
                <w:szCs w:val="24"/>
              </w:rPr>
            </w:pPr>
          </w:p>
          <w:p w:rsidR="00916FF1" w:rsidRPr="00AC3471" w:rsidRDefault="00AC3471" w:rsidP="008D7FD0">
            <w:pPr>
              <w:rPr>
                <w:sz w:val="24"/>
                <w:szCs w:val="24"/>
              </w:rPr>
            </w:pPr>
            <w:r>
              <w:rPr>
                <w:sz w:val="24"/>
                <w:szCs w:val="24"/>
              </w:rPr>
              <w:t xml:space="preserve">The statutory guidance states that the </w:t>
            </w:r>
            <w:r w:rsidRPr="00AC3471">
              <w:rPr>
                <w:sz w:val="24"/>
                <w:szCs w:val="24"/>
              </w:rPr>
              <w:t>PEP should be initiated within 10 working days of a child or young person coming into care</w:t>
            </w:r>
            <w:r>
              <w:rPr>
                <w:sz w:val="24"/>
                <w:szCs w:val="24"/>
              </w:rPr>
              <w:t xml:space="preserve">. Subsequent to the meeting taking place and the PEP documentation completed and signed off by the Virtual School team, the £600 will be allocated to the school to assist with the transition and any targets within the PEP.    </w:t>
            </w:r>
          </w:p>
          <w:p w:rsidR="005906CD" w:rsidRDefault="005906CD" w:rsidP="008D7FD0">
            <w:pPr>
              <w:rPr>
                <w:b/>
                <w:sz w:val="24"/>
                <w:szCs w:val="24"/>
              </w:rPr>
            </w:pPr>
          </w:p>
          <w:p w:rsidR="008D7FD0" w:rsidRPr="008D7FD0" w:rsidRDefault="008D7FD0" w:rsidP="008D7FD0">
            <w:pPr>
              <w:rPr>
                <w:b/>
                <w:sz w:val="24"/>
                <w:szCs w:val="24"/>
              </w:rPr>
            </w:pPr>
            <w:r w:rsidRPr="008D7FD0">
              <w:rPr>
                <w:b/>
                <w:sz w:val="24"/>
                <w:szCs w:val="24"/>
              </w:rPr>
              <w:t xml:space="preserve">How should </w:t>
            </w:r>
            <w:r w:rsidR="005906CD">
              <w:rPr>
                <w:b/>
                <w:sz w:val="24"/>
                <w:szCs w:val="24"/>
              </w:rPr>
              <w:t xml:space="preserve">schools </w:t>
            </w:r>
            <w:r w:rsidRPr="008D7FD0">
              <w:rPr>
                <w:b/>
                <w:sz w:val="24"/>
                <w:szCs w:val="24"/>
              </w:rPr>
              <w:t>apply for pupils in Years 6 and 11 who are due to transition to secondary school or further education?</w:t>
            </w:r>
          </w:p>
          <w:p w:rsidR="008D7FD0" w:rsidRPr="008D7FD0" w:rsidRDefault="008D7FD0" w:rsidP="008D7FD0">
            <w:pPr>
              <w:rPr>
                <w:b/>
                <w:sz w:val="24"/>
                <w:szCs w:val="24"/>
              </w:rPr>
            </w:pPr>
          </w:p>
          <w:p w:rsidR="008D7FD0" w:rsidRDefault="00C354BA" w:rsidP="008D7FD0">
            <w:pPr>
              <w:rPr>
                <w:sz w:val="24"/>
                <w:szCs w:val="24"/>
              </w:rPr>
            </w:pPr>
            <w:r>
              <w:rPr>
                <w:sz w:val="24"/>
                <w:szCs w:val="24"/>
              </w:rPr>
              <w:t xml:space="preserve">It is good practice to hold a PEP meeting early in the final term before the pupil transitions. It is expected that the £600 </w:t>
            </w:r>
            <w:r w:rsidR="008D7FD0" w:rsidRPr="008D7FD0">
              <w:rPr>
                <w:sz w:val="24"/>
                <w:szCs w:val="24"/>
              </w:rPr>
              <w:t xml:space="preserve">allocated for the Summer Term </w:t>
            </w:r>
            <w:r>
              <w:rPr>
                <w:sz w:val="24"/>
                <w:szCs w:val="24"/>
              </w:rPr>
              <w:t>would</w:t>
            </w:r>
            <w:r w:rsidR="008D7FD0" w:rsidRPr="008D7FD0">
              <w:rPr>
                <w:sz w:val="24"/>
                <w:szCs w:val="24"/>
              </w:rPr>
              <w:t xml:space="preserve"> support any preparations for end of year events and transition to secondary or further education. </w:t>
            </w:r>
          </w:p>
          <w:p w:rsidR="00C354BA" w:rsidRPr="008D7FD0" w:rsidRDefault="00C354BA" w:rsidP="008D7FD0">
            <w:pPr>
              <w:rPr>
                <w:b/>
                <w:sz w:val="24"/>
                <w:szCs w:val="24"/>
              </w:rPr>
            </w:pPr>
          </w:p>
          <w:p w:rsidR="008D7FD0" w:rsidRPr="008D7FD0" w:rsidRDefault="008D7FD0" w:rsidP="008D7FD0">
            <w:pPr>
              <w:rPr>
                <w:b/>
                <w:sz w:val="24"/>
                <w:szCs w:val="24"/>
              </w:rPr>
            </w:pPr>
            <w:r w:rsidRPr="008D7FD0">
              <w:rPr>
                <w:b/>
                <w:sz w:val="24"/>
                <w:szCs w:val="24"/>
              </w:rPr>
              <w:lastRenderedPageBreak/>
              <w:t xml:space="preserve">If a student is put back a year to assist them with accessing learning their chronological age will be over 16/17 before they leave high school. Does this mean they won’t be entitled to pupil premium funding when they reach Year 11? </w:t>
            </w:r>
          </w:p>
          <w:p w:rsidR="008D7FD0" w:rsidRPr="008D7FD0" w:rsidRDefault="008D7FD0" w:rsidP="008D7FD0">
            <w:pPr>
              <w:rPr>
                <w:b/>
                <w:sz w:val="24"/>
                <w:szCs w:val="24"/>
              </w:rPr>
            </w:pPr>
          </w:p>
          <w:p w:rsidR="008D7FD0" w:rsidRPr="008D7FD0" w:rsidRDefault="008D7FD0" w:rsidP="008D7FD0">
            <w:pPr>
              <w:rPr>
                <w:sz w:val="24"/>
                <w:szCs w:val="24"/>
              </w:rPr>
            </w:pPr>
            <w:r w:rsidRPr="008D7FD0">
              <w:rPr>
                <w:sz w:val="24"/>
                <w:szCs w:val="24"/>
              </w:rPr>
              <w:t>You can use the funding for children that have been back-classed and are now outside of the normal age range for Pupil Premium funding.</w:t>
            </w:r>
          </w:p>
          <w:p w:rsidR="008D7FD0" w:rsidRPr="008D7FD0" w:rsidRDefault="008D7FD0" w:rsidP="008D7FD0">
            <w:pPr>
              <w:rPr>
                <w:sz w:val="24"/>
                <w:szCs w:val="24"/>
              </w:rPr>
            </w:pPr>
          </w:p>
          <w:p w:rsidR="008D7FD0" w:rsidRPr="008D7FD0" w:rsidRDefault="008D7FD0" w:rsidP="008D7FD0">
            <w:pPr>
              <w:rPr>
                <w:b/>
                <w:sz w:val="24"/>
                <w:szCs w:val="24"/>
              </w:rPr>
            </w:pPr>
            <w:r w:rsidRPr="008D7FD0">
              <w:rPr>
                <w:b/>
                <w:sz w:val="24"/>
                <w:szCs w:val="24"/>
              </w:rPr>
              <w:t>How do I apply for funding for any pupils on my school roll who are in the care of another local authority?</w:t>
            </w:r>
          </w:p>
          <w:p w:rsidR="008D7FD0" w:rsidRPr="008D7FD0" w:rsidRDefault="008D7FD0" w:rsidP="008D7FD0">
            <w:pPr>
              <w:rPr>
                <w:sz w:val="24"/>
                <w:szCs w:val="24"/>
              </w:rPr>
            </w:pPr>
          </w:p>
          <w:p w:rsidR="008D7FD0" w:rsidRPr="008D7FD0" w:rsidRDefault="008D7FD0" w:rsidP="008D7FD0">
            <w:pPr>
              <w:rPr>
                <w:sz w:val="24"/>
                <w:szCs w:val="24"/>
              </w:rPr>
            </w:pPr>
            <w:r w:rsidRPr="008D7FD0">
              <w:rPr>
                <w:sz w:val="24"/>
                <w:szCs w:val="24"/>
              </w:rPr>
              <w:t xml:space="preserve">Pupils educated in Norfolk but ‘Looked After’ by another authority will have their Pupil Premium paid by that authority. Each authority are likely to have a slightly different </w:t>
            </w:r>
            <w:proofErr w:type="gramStart"/>
            <w:r w:rsidRPr="008D7FD0">
              <w:rPr>
                <w:sz w:val="24"/>
                <w:szCs w:val="24"/>
              </w:rPr>
              <w:t>approach</w:t>
            </w:r>
            <w:proofErr w:type="gramEnd"/>
            <w:r w:rsidRPr="008D7FD0">
              <w:rPr>
                <w:sz w:val="24"/>
                <w:szCs w:val="24"/>
              </w:rPr>
              <w:t xml:space="preserve"> to allocation of funding and you should contact the Virtual School Head of the relevant authority for clarification on the process.  </w:t>
            </w:r>
          </w:p>
          <w:p w:rsidR="008D7FD0" w:rsidRPr="008D7FD0" w:rsidRDefault="008D7FD0" w:rsidP="008D7FD0">
            <w:pPr>
              <w:rPr>
                <w:sz w:val="24"/>
                <w:szCs w:val="24"/>
              </w:rPr>
            </w:pPr>
          </w:p>
          <w:p w:rsidR="008D7FD0" w:rsidRPr="008D7FD0" w:rsidRDefault="008D7FD0" w:rsidP="008D7FD0">
            <w:pPr>
              <w:rPr>
                <w:b/>
                <w:sz w:val="24"/>
                <w:szCs w:val="24"/>
                <w:lang w:val="en"/>
              </w:rPr>
            </w:pPr>
            <w:r w:rsidRPr="008D7FD0">
              <w:rPr>
                <w:b/>
                <w:sz w:val="24"/>
                <w:szCs w:val="24"/>
                <w:lang w:val="en"/>
              </w:rPr>
              <w:t>Does the Virtual School oversee pupil premium funding for children adopted from care or who have left care?</w:t>
            </w:r>
          </w:p>
          <w:p w:rsidR="008D7FD0" w:rsidRPr="008D7FD0" w:rsidRDefault="008D7FD0" w:rsidP="008D7FD0">
            <w:pPr>
              <w:rPr>
                <w:rFonts w:eastAsia="Calibri"/>
                <w:b/>
                <w:sz w:val="24"/>
                <w:szCs w:val="24"/>
                <w:lang w:val="en"/>
              </w:rPr>
            </w:pPr>
          </w:p>
          <w:p w:rsidR="008D7FD0" w:rsidRPr="008D7FD0" w:rsidRDefault="008D7FD0" w:rsidP="008D7FD0">
            <w:pPr>
              <w:rPr>
                <w:sz w:val="24"/>
                <w:szCs w:val="24"/>
              </w:rPr>
            </w:pPr>
            <w:r w:rsidRPr="00D150D9">
              <w:rPr>
                <w:b/>
                <w:sz w:val="24"/>
                <w:szCs w:val="24"/>
                <w:lang w:val="en"/>
              </w:rPr>
              <w:t xml:space="preserve">No, </w:t>
            </w:r>
            <w:r w:rsidRPr="00D150D9">
              <w:rPr>
                <w:b/>
                <w:sz w:val="24"/>
                <w:szCs w:val="24"/>
              </w:rPr>
              <w:t>this grant is outside the remit of this policy</w:t>
            </w:r>
            <w:r w:rsidRPr="00D150D9">
              <w:rPr>
                <w:sz w:val="24"/>
                <w:szCs w:val="24"/>
              </w:rPr>
              <w:t>.</w:t>
            </w:r>
            <w:r w:rsidRPr="008D7FD0">
              <w:rPr>
                <w:sz w:val="24"/>
                <w:szCs w:val="24"/>
              </w:rPr>
              <w:t xml:space="preserve">  </w:t>
            </w:r>
            <w:r w:rsidRPr="008D7FD0">
              <w:rPr>
                <w:sz w:val="24"/>
                <w:szCs w:val="24"/>
                <w:lang w:val="en"/>
              </w:rPr>
              <w:t>The pupil premium for 201</w:t>
            </w:r>
            <w:r w:rsidR="00C354BA">
              <w:rPr>
                <w:sz w:val="24"/>
                <w:szCs w:val="24"/>
                <w:lang w:val="en"/>
              </w:rPr>
              <w:t>8</w:t>
            </w:r>
            <w:r w:rsidRPr="008D7FD0">
              <w:rPr>
                <w:sz w:val="24"/>
                <w:szCs w:val="24"/>
                <w:lang w:val="en"/>
              </w:rPr>
              <w:t xml:space="preserve"> to 201</w:t>
            </w:r>
            <w:r w:rsidR="00C354BA">
              <w:rPr>
                <w:sz w:val="24"/>
                <w:szCs w:val="24"/>
                <w:lang w:val="en"/>
              </w:rPr>
              <w:t>9</w:t>
            </w:r>
            <w:r w:rsidRPr="008D7FD0">
              <w:rPr>
                <w:sz w:val="24"/>
                <w:szCs w:val="24"/>
                <w:lang w:val="en"/>
              </w:rPr>
              <w:t xml:space="preserve"> will include pupils recorded in the January 201</w:t>
            </w:r>
            <w:r w:rsidR="00C354BA">
              <w:rPr>
                <w:sz w:val="24"/>
                <w:szCs w:val="24"/>
                <w:lang w:val="en"/>
              </w:rPr>
              <w:t>8</w:t>
            </w:r>
            <w:r w:rsidRPr="008D7FD0">
              <w:rPr>
                <w:sz w:val="24"/>
                <w:szCs w:val="24"/>
                <w:lang w:val="en"/>
              </w:rPr>
              <w:t xml:space="preserve"> school census and alternative provision census who were looked after immediately before being adopted, or who left local authority care on a special guardianship order or child arrangements order (previously known as a residence order). These are referred to as post-LAC and £</w:t>
            </w:r>
            <w:r w:rsidR="00C354BA">
              <w:rPr>
                <w:sz w:val="24"/>
                <w:szCs w:val="24"/>
                <w:lang w:val="en"/>
              </w:rPr>
              <w:t>2,3</w:t>
            </w:r>
            <w:r w:rsidRPr="008D7FD0">
              <w:rPr>
                <w:sz w:val="24"/>
                <w:szCs w:val="24"/>
                <w:lang w:val="en"/>
              </w:rPr>
              <w:t xml:space="preserve">00 funding </w:t>
            </w:r>
            <w:r w:rsidRPr="008D7FD0">
              <w:rPr>
                <w:b/>
                <w:sz w:val="24"/>
                <w:szCs w:val="24"/>
                <w:lang w:val="en"/>
              </w:rPr>
              <w:t>is paid directly to schools</w:t>
            </w:r>
            <w:r w:rsidRPr="008D7FD0">
              <w:rPr>
                <w:sz w:val="24"/>
                <w:szCs w:val="24"/>
                <w:lang w:val="en"/>
              </w:rPr>
              <w:t xml:space="preserve"> </w:t>
            </w:r>
            <w:r w:rsidRPr="008D7FD0">
              <w:rPr>
                <w:sz w:val="24"/>
                <w:szCs w:val="24"/>
              </w:rPr>
              <w:t>where the adoptive parents have disclosed the legal status of the child and schools have completed this information on their January Census return.</w:t>
            </w:r>
          </w:p>
          <w:p w:rsidR="008D7FD0" w:rsidRPr="008D7FD0" w:rsidRDefault="008D7FD0" w:rsidP="008D7FD0">
            <w:pPr>
              <w:rPr>
                <w:sz w:val="24"/>
                <w:szCs w:val="24"/>
                <w:lang w:val="en"/>
              </w:rPr>
            </w:pPr>
          </w:p>
          <w:p w:rsidR="008D7FD0" w:rsidRPr="008D7FD0" w:rsidRDefault="008D7FD0" w:rsidP="008D7FD0">
            <w:pPr>
              <w:rPr>
                <w:b/>
                <w:sz w:val="24"/>
                <w:szCs w:val="24"/>
              </w:rPr>
            </w:pPr>
            <w:r w:rsidRPr="008D7FD0">
              <w:rPr>
                <w:b/>
                <w:sz w:val="24"/>
                <w:szCs w:val="24"/>
              </w:rPr>
              <w:t>What is the process for pupils who previously qualified for Free School Meals Funding?</w:t>
            </w:r>
          </w:p>
          <w:p w:rsidR="008D7FD0" w:rsidRPr="008D7FD0" w:rsidRDefault="008D7FD0" w:rsidP="008D7FD0">
            <w:pPr>
              <w:rPr>
                <w:sz w:val="24"/>
                <w:szCs w:val="24"/>
              </w:rPr>
            </w:pPr>
          </w:p>
          <w:p w:rsidR="008D7FD0" w:rsidRDefault="008D7FD0" w:rsidP="008D7FD0">
            <w:pPr>
              <w:rPr>
                <w:bCs/>
                <w:sz w:val="24"/>
                <w:szCs w:val="24"/>
              </w:rPr>
            </w:pPr>
            <w:r w:rsidRPr="008D7FD0">
              <w:rPr>
                <w:bCs/>
                <w:sz w:val="24"/>
                <w:szCs w:val="24"/>
              </w:rPr>
              <w:t xml:space="preserve">Pupils who would qualify for FSM6 funding (Free School Meals eligibility within the last 6 years) and who have become LAC will </w:t>
            </w:r>
            <w:r w:rsidRPr="008D7FD0">
              <w:rPr>
                <w:b/>
                <w:bCs/>
                <w:sz w:val="24"/>
                <w:szCs w:val="24"/>
              </w:rPr>
              <w:t>not</w:t>
            </w:r>
            <w:r w:rsidRPr="008D7FD0">
              <w:rPr>
                <w:bCs/>
                <w:sz w:val="24"/>
                <w:szCs w:val="24"/>
              </w:rPr>
              <w:t xml:space="preserve"> be funded through FSM6 funding</w:t>
            </w:r>
            <w:r w:rsidR="001F22D7">
              <w:rPr>
                <w:bCs/>
                <w:sz w:val="24"/>
                <w:szCs w:val="24"/>
              </w:rPr>
              <w:t>, but through the looked after children allocation process.</w:t>
            </w:r>
            <w:r w:rsidRPr="008D7FD0">
              <w:rPr>
                <w:bCs/>
                <w:sz w:val="24"/>
                <w:szCs w:val="24"/>
              </w:rPr>
              <w:t xml:space="preserve"> </w:t>
            </w:r>
          </w:p>
          <w:p w:rsidR="001F22D7" w:rsidRPr="008D7FD0" w:rsidRDefault="001F22D7" w:rsidP="008D7FD0">
            <w:pPr>
              <w:rPr>
                <w:sz w:val="24"/>
                <w:szCs w:val="24"/>
              </w:rPr>
            </w:pPr>
          </w:p>
          <w:p w:rsidR="008D7FD0" w:rsidRPr="008D7FD0" w:rsidRDefault="008D7FD0" w:rsidP="008D7FD0">
            <w:pPr>
              <w:rPr>
                <w:b/>
                <w:sz w:val="24"/>
                <w:szCs w:val="24"/>
              </w:rPr>
            </w:pPr>
            <w:r w:rsidRPr="008D7FD0">
              <w:rPr>
                <w:b/>
                <w:sz w:val="24"/>
                <w:szCs w:val="24"/>
              </w:rPr>
              <w:lastRenderedPageBreak/>
              <w:t>Does the Virtual School Head have to give £</w:t>
            </w:r>
            <w:r w:rsidR="00605823">
              <w:rPr>
                <w:b/>
                <w:sz w:val="24"/>
                <w:szCs w:val="24"/>
              </w:rPr>
              <w:t>2,3</w:t>
            </w:r>
            <w:r w:rsidRPr="008D7FD0">
              <w:rPr>
                <w:b/>
                <w:sz w:val="24"/>
                <w:szCs w:val="24"/>
              </w:rPr>
              <w:t xml:space="preserve">00 to schools or can they give a higher or lower amount? </w:t>
            </w:r>
          </w:p>
          <w:p w:rsidR="008D7FD0" w:rsidRPr="008D7FD0" w:rsidRDefault="008D7FD0" w:rsidP="008D7FD0">
            <w:pPr>
              <w:rPr>
                <w:b/>
                <w:sz w:val="24"/>
                <w:szCs w:val="24"/>
              </w:rPr>
            </w:pPr>
          </w:p>
          <w:p w:rsidR="008D7FD0" w:rsidRPr="008D7FD0" w:rsidRDefault="008D7FD0" w:rsidP="008D7FD0">
            <w:pPr>
              <w:rPr>
                <w:sz w:val="24"/>
                <w:szCs w:val="24"/>
                <w:lang w:val="en"/>
              </w:rPr>
            </w:pPr>
            <w:r w:rsidRPr="008D7FD0">
              <w:rPr>
                <w:sz w:val="24"/>
                <w:szCs w:val="24"/>
              </w:rPr>
              <w:t xml:space="preserve">The conditions of grant state that </w:t>
            </w:r>
            <w:r w:rsidR="005221B2">
              <w:rPr>
                <w:sz w:val="24"/>
                <w:szCs w:val="24"/>
              </w:rPr>
              <w:t>the</w:t>
            </w:r>
            <w:r w:rsidRPr="008D7FD0">
              <w:rPr>
                <w:sz w:val="24"/>
                <w:szCs w:val="24"/>
              </w:rPr>
              <w:t xml:space="preserve"> </w:t>
            </w:r>
            <w:r w:rsidR="005221B2">
              <w:rPr>
                <w:sz w:val="24"/>
                <w:szCs w:val="24"/>
              </w:rPr>
              <w:t>fund</w:t>
            </w:r>
            <w:r w:rsidRPr="008D7FD0">
              <w:rPr>
                <w:sz w:val="24"/>
                <w:szCs w:val="24"/>
              </w:rPr>
              <w:t xml:space="preserve"> must be managed by the Virtual School Head. </w:t>
            </w:r>
            <w:r w:rsidR="00DC763C" w:rsidRPr="008D7FD0">
              <w:rPr>
                <w:sz w:val="24"/>
                <w:szCs w:val="24"/>
              </w:rPr>
              <w:t xml:space="preserve">There is a strong expectation that Virtual School Heads will pass pupil premium funding onto a child’s education setting to be used to meet additional needs set out in </w:t>
            </w:r>
            <w:r w:rsidR="005221B2">
              <w:rPr>
                <w:sz w:val="24"/>
                <w:szCs w:val="24"/>
              </w:rPr>
              <w:t>the</w:t>
            </w:r>
            <w:r w:rsidR="00DC763C" w:rsidRPr="008D7FD0">
              <w:rPr>
                <w:sz w:val="24"/>
                <w:szCs w:val="24"/>
              </w:rPr>
              <w:t xml:space="preserve"> Personal Education Plan. </w:t>
            </w:r>
            <w:r w:rsidRPr="008D7FD0">
              <w:rPr>
                <w:sz w:val="24"/>
                <w:szCs w:val="24"/>
              </w:rPr>
              <w:t>It is for them to decide whether to provide £</w:t>
            </w:r>
            <w:r w:rsidR="00605823">
              <w:rPr>
                <w:sz w:val="24"/>
                <w:szCs w:val="24"/>
              </w:rPr>
              <w:t>2,3</w:t>
            </w:r>
            <w:r w:rsidRPr="008D7FD0">
              <w:rPr>
                <w:sz w:val="24"/>
                <w:szCs w:val="24"/>
              </w:rPr>
              <w:t xml:space="preserve">00 to a school for a looked after child or a higher or lower amount. </w:t>
            </w:r>
            <w:r w:rsidRPr="008D7FD0">
              <w:rPr>
                <w:sz w:val="24"/>
                <w:szCs w:val="24"/>
                <w:lang w:val="en"/>
              </w:rPr>
              <w:t>Some of the most effective interventions cost very little and others are more than £</w:t>
            </w:r>
            <w:r w:rsidR="005221B2">
              <w:rPr>
                <w:sz w:val="24"/>
                <w:szCs w:val="24"/>
                <w:lang w:val="en"/>
              </w:rPr>
              <w:t>2,3</w:t>
            </w:r>
            <w:r w:rsidRPr="008D7FD0">
              <w:rPr>
                <w:sz w:val="24"/>
                <w:szCs w:val="24"/>
                <w:lang w:val="en"/>
              </w:rPr>
              <w:t>00. Funding is allocated according to the identified need.</w:t>
            </w:r>
          </w:p>
          <w:p w:rsidR="008D7FD0" w:rsidRPr="008D7FD0" w:rsidRDefault="008D7FD0" w:rsidP="008D7FD0">
            <w:pPr>
              <w:rPr>
                <w:sz w:val="24"/>
                <w:szCs w:val="24"/>
              </w:rPr>
            </w:pPr>
          </w:p>
          <w:p w:rsidR="008D7FD0" w:rsidRPr="008D7FD0" w:rsidRDefault="008D7FD0" w:rsidP="008D7FD0">
            <w:pPr>
              <w:rPr>
                <w:b/>
                <w:sz w:val="24"/>
                <w:szCs w:val="24"/>
              </w:rPr>
            </w:pPr>
            <w:r w:rsidRPr="008D7FD0">
              <w:rPr>
                <w:b/>
                <w:sz w:val="24"/>
                <w:szCs w:val="24"/>
              </w:rPr>
              <w:t>Can money be spent on school trips?</w:t>
            </w:r>
          </w:p>
          <w:p w:rsidR="008D7FD0" w:rsidRPr="008D7FD0" w:rsidRDefault="008D7FD0" w:rsidP="008D7FD0">
            <w:pPr>
              <w:rPr>
                <w:b/>
                <w:sz w:val="24"/>
                <w:szCs w:val="24"/>
              </w:rPr>
            </w:pPr>
          </w:p>
          <w:p w:rsidR="008D7FD0" w:rsidRDefault="008D7FD0" w:rsidP="008D7FD0">
            <w:pPr>
              <w:rPr>
                <w:sz w:val="24"/>
                <w:szCs w:val="24"/>
              </w:rPr>
            </w:pPr>
            <w:r w:rsidRPr="008D7FD0">
              <w:rPr>
                <w:sz w:val="24"/>
                <w:szCs w:val="24"/>
              </w:rPr>
              <w:t>Funding applications will only be approved if it can be demonstrated that there is a clear link to raising attainment and closing the gap between looked after children and their peers. Pupil Premium for looked after children should not be used to cover interventions which should be funded elsewhere.</w:t>
            </w:r>
          </w:p>
          <w:p w:rsidR="00B452C8" w:rsidRDefault="00B452C8" w:rsidP="008D7FD0">
            <w:pPr>
              <w:rPr>
                <w:sz w:val="24"/>
                <w:szCs w:val="24"/>
              </w:rPr>
            </w:pPr>
          </w:p>
          <w:p w:rsidR="00B452C8" w:rsidRDefault="00B452C8" w:rsidP="008D7FD0">
            <w:pPr>
              <w:rPr>
                <w:b/>
                <w:sz w:val="24"/>
                <w:szCs w:val="24"/>
              </w:rPr>
            </w:pPr>
            <w:r w:rsidRPr="00B452C8">
              <w:rPr>
                <w:b/>
                <w:sz w:val="24"/>
                <w:szCs w:val="24"/>
              </w:rPr>
              <w:t xml:space="preserve">Can the foster carer </w:t>
            </w:r>
            <w:r>
              <w:rPr>
                <w:b/>
                <w:sz w:val="24"/>
                <w:szCs w:val="24"/>
              </w:rPr>
              <w:t>b</w:t>
            </w:r>
            <w:r w:rsidRPr="00B452C8">
              <w:rPr>
                <w:b/>
                <w:sz w:val="24"/>
                <w:szCs w:val="24"/>
              </w:rPr>
              <w:t>e given the pupil premium funding to spend?</w:t>
            </w:r>
          </w:p>
          <w:p w:rsidR="00203865" w:rsidRPr="00B452C8" w:rsidRDefault="00203865" w:rsidP="008D7FD0">
            <w:pPr>
              <w:rPr>
                <w:b/>
                <w:sz w:val="24"/>
                <w:szCs w:val="24"/>
              </w:rPr>
            </w:pPr>
          </w:p>
          <w:p w:rsidR="00B452C8" w:rsidRPr="008D7FD0" w:rsidRDefault="00B452C8" w:rsidP="008D7FD0">
            <w:pPr>
              <w:rPr>
                <w:sz w:val="24"/>
                <w:szCs w:val="24"/>
              </w:rPr>
            </w:pPr>
            <w:r>
              <w:rPr>
                <w:sz w:val="24"/>
                <w:szCs w:val="24"/>
              </w:rPr>
              <w:t>The Virtual School Head manages pupil premium funding to support the education of looked after children as set out in the Personal Education Plan. It should not be used for activity the local authority should normally be expected to fund as the corporate parent, such as support for foster carers. Foster carers however, have an essential role in supporting the education of the children for whom they care. Foster carers can therefore make a valuable contribution to decision making</w:t>
            </w:r>
            <w:r w:rsidR="00203865">
              <w:rPr>
                <w:sz w:val="24"/>
                <w:szCs w:val="24"/>
              </w:rPr>
              <w:t>.</w:t>
            </w:r>
            <w:bookmarkStart w:id="0" w:name="_GoBack"/>
            <w:bookmarkEnd w:id="0"/>
          </w:p>
          <w:p w:rsidR="008D7FD0" w:rsidRPr="008D7FD0" w:rsidRDefault="008D7FD0" w:rsidP="008D7FD0">
            <w:pPr>
              <w:rPr>
                <w:sz w:val="24"/>
                <w:szCs w:val="24"/>
              </w:rPr>
            </w:pPr>
          </w:p>
          <w:p w:rsidR="008D7FD0" w:rsidRPr="008D7FD0" w:rsidRDefault="008D7FD0" w:rsidP="008D7FD0">
            <w:pPr>
              <w:rPr>
                <w:b/>
                <w:sz w:val="24"/>
                <w:szCs w:val="24"/>
              </w:rPr>
            </w:pPr>
            <w:r w:rsidRPr="008D7FD0">
              <w:rPr>
                <w:b/>
                <w:sz w:val="24"/>
                <w:szCs w:val="24"/>
              </w:rPr>
              <w:t>Can the Virtual School Head pool funding for some of the authority’s looked after children?</w:t>
            </w:r>
          </w:p>
          <w:p w:rsidR="008D7FD0" w:rsidRPr="008D7FD0" w:rsidRDefault="008D7FD0" w:rsidP="008D7FD0">
            <w:pPr>
              <w:rPr>
                <w:b/>
                <w:sz w:val="24"/>
                <w:szCs w:val="24"/>
              </w:rPr>
            </w:pPr>
            <w:r w:rsidRPr="008D7FD0">
              <w:rPr>
                <w:b/>
                <w:sz w:val="24"/>
                <w:szCs w:val="24"/>
              </w:rPr>
              <w:t xml:space="preserve"> </w:t>
            </w:r>
          </w:p>
          <w:p w:rsidR="008D7FD0" w:rsidRPr="008D7FD0" w:rsidRDefault="008D7FD0" w:rsidP="008D7FD0">
            <w:pPr>
              <w:rPr>
                <w:sz w:val="24"/>
                <w:szCs w:val="24"/>
              </w:rPr>
            </w:pPr>
            <w:r w:rsidRPr="008D7FD0">
              <w:rPr>
                <w:sz w:val="24"/>
                <w:szCs w:val="24"/>
              </w:rPr>
              <w:t xml:space="preserve">The Department for Education expects Virtual School Heads to manage the pupil premium to ensure that it promotes the educational achievement of all the children looked after by the authority. It may be appropriate to pool some pupil premium for activities to benefit the authority’s looked after children more holistically. For example, it might be appropriate </w:t>
            </w:r>
            <w:r w:rsidRPr="008D7FD0">
              <w:rPr>
                <w:sz w:val="24"/>
                <w:szCs w:val="24"/>
              </w:rPr>
              <w:lastRenderedPageBreak/>
              <w:t xml:space="preserve">to provide training for a group of designated teachers across the authority or a group of Teaching Alliance schools. Equally, a virtual school head might negotiate with a school regarding pooling pupil premium funding for looked after children with the school’s pupil premium to provide an enhanced and more intensive package of support for disadvantaged children generally. </w:t>
            </w:r>
          </w:p>
          <w:p w:rsidR="008D7FD0" w:rsidRPr="00F56BE6" w:rsidRDefault="008D7FD0" w:rsidP="00605823">
            <w:pPr>
              <w:rPr>
                <w:sz w:val="24"/>
                <w:szCs w:val="24"/>
              </w:rPr>
            </w:pPr>
          </w:p>
        </w:tc>
      </w:tr>
    </w:tbl>
    <w:p w:rsidR="005221B2" w:rsidRPr="008D7FD0" w:rsidRDefault="005221B2" w:rsidP="005221B2">
      <w:pPr>
        <w:rPr>
          <w:sz w:val="24"/>
          <w:szCs w:val="24"/>
        </w:rPr>
      </w:pPr>
      <w:r w:rsidRPr="008D7FD0">
        <w:rPr>
          <w:sz w:val="24"/>
          <w:szCs w:val="24"/>
        </w:rPr>
        <w:lastRenderedPageBreak/>
        <w:t>Any funding not passed down to schools by the end of the financial year will have to be returned to the Department. No money can be carried forward to the next financial year.</w:t>
      </w:r>
    </w:p>
    <w:p w:rsidR="008D7FD0" w:rsidRPr="00B452C8" w:rsidRDefault="008D7FD0" w:rsidP="00DE4391">
      <w:pPr>
        <w:rPr>
          <w:b/>
          <w:sz w:val="24"/>
          <w:szCs w:val="24"/>
        </w:rPr>
      </w:pPr>
    </w:p>
    <w:p w:rsidR="009F0495" w:rsidRDefault="009F0495" w:rsidP="00DE4391">
      <w:pPr>
        <w:rPr>
          <w:b/>
          <w:i/>
          <w:sz w:val="24"/>
          <w:szCs w:val="24"/>
        </w:rPr>
      </w:pPr>
      <w:r>
        <w:rPr>
          <w:b/>
          <w:i/>
          <w:sz w:val="24"/>
          <w:szCs w:val="24"/>
        </w:rPr>
        <w:t>You can contact us on</w:t>
      </w:r>
      <w:r w:rsidR="00F85986">
        <w:rPr>
          <w:b/>
          <w:i/>
          <w:sz w:val="24"/>
          <w:szCs w:val="24"/>
        </w:rPr>
        <w:t>:-</w:t>
      </w:r>
    </w:p>
    <w:p w:rsidR="00FD5647" w:rsidRDefault="00064CDB" w:rsidP="00DE4391">
      <w:pPr>
        <w:rPr>
          <w:rFonts w:ascii="Arial" w:hAnsi="Arial" w:cs="Arial"/>
          <w:b/>
          <w:bCs/>
          <w:color w:val="008000"/>
          <w:lang w:val="en-US"/>
        </w:rPr>
      </w:pPr>
      <w:r w:rsidRPr="00573F1E">
        <w:rPr>
          <w:rFonts w:ascii="Wingdings" w:hAnsi="Wingdings"/>
          <w:b/>
          <w:bCs/>
          <w:color w:val="008000"/>
          <w:lang w:val="en-US"/>
        </w:rPr>
        <w:t></w:t>
      </w:r>
      <w:r>
        <w:rPr>
          <w:rFonts w:ascii="Wingdings" w:hAnsi="Wingdings"/>
          <w:b/>
          <w:bCs/>
          <w:color w:val="008000"/>
          <w:lang w:val="en-US"/>
        </w:rPr>
        <w:t></w:t>
      </w:r>
      <w:r>
        <w:rPr>
          <w:rFonts w:ascii="Wingdings" w:hAnsi="Wingdings"/>
          <w:b/>
          <w:bCs/>
          <w:color w:val="008000"/>
          <w:lang w:val="en-US"/>
        </w:rPr>
        <w:t></w:t>
      </w:r>
      <w:r w:rsidR="00FD5647" w:rsidRPr="00FD5647">
        <w:rPr>
          <w:rFonts w:ascii="Arial" w:hAnsi="Arial" w:cs="Arial"/>
          <w:b/>
          <w:bCs/>
          <w:lang w:val="en-US"/>
        </w:rPr>
        <w:t>01603 30</w:t>
      </w:r>
      <w:r w:rsidR="00DB5876">
        <w:rPr>
          <w:rFonts w:ascii="Arial" w:hAnsi="Arial" w:cs="Arial"/>
          <w:b/>
          <w:bCs/>
          <w:lang w:val="en-US"/>
        </w:rPr>
        <w:t>7769</w:t>
      </w:r>
      <w:r>
        <w:rPr>
          <w:rFonts w:ascii="Wingdings" w:hAnsi="Wingdings"/>
          <w:b/>
          <w:bCs/>
          <w:color w:val="008000"/>
          <w:lang w:val="en-US"/>
        </w:rPr>
        <w:t></w:t>
      </w:r>
      <w:r>
        <w:rPr>
          <w:rFonts w:ascii="Wingdings" w:hAnsi="Wingdings"/>
          <w:b/>
          <w:bCs/>
          <w:color w:val="008000"/>
          <w:lang w:val="en-US"/>
        </w:rPr>
        <w:t></w:t>
      </w:r>
      <w:r>
        <w:rPr>
          <w:rFonts w:ascii="Wingdings" w:hAnsi="Wingdings"/>
          <w:b/>
          <w:bCs/>
          <w:color w:val="008000"/>
          <w:lang w:val="en-US"/>
        </w:rPr>
        <w:t></w:t>
      </w:r>
      <w:r w:rsidRPr="00573F1E">
        <w:rPr>
          <w:rFonts w:ascii="Wingdings" w:hAnsi="Wingdings"/>
          <w:b/>
          <w:bCs/>
          <w:color w:val="008000"/>
          <w:lang w:val="en-US"/>
        </w:rPr>
        <w:t></w:t>
      </w:r>
      <w:r w:rsidR="00FD5647">
        <w:rPr>
          <w:rFonts w:ascii="Arial" w:hAnsi="Arial" w:cs="Arial"/>
          <w:b/>
          <w:bCs/>
          <w:color w:val="008000"/>
          <w:lang w:val="en-US"/>
        </w:rPr>
        <w:t xml:space="preserve">       </w:t>
      </w:r>
      <w:hyperlink r:id="rId12" w:history="1">
        <w:r w:rsidR="00492880" w:rsidRPr="00EE0DBB">
          <w:rPr>
            <w:rStyle w:val="Hyperlink"/>
            <w:rFonts w:ascii="Arial" w:hAnsi="Arial" w:cs="Arial"/>
            <w:b/>
            <w:bCs/>
            <w:lang w:val="en-US"/>
          </w:rPr>
          <w:t>clare.farrant@norfolk.gov.uk</w:t>
        </w:r>
      </w:hyperlink>
    </w:p>
    <w:p w:rsidR="00520E72" w:rsidRPr="00520E72" w:rsidRDefault="00F85986" w:rsidP="00DF2648">
      <w:pPr>
        <w:rPr>
          <w:rFonts w:ascii="Arial" w:hAnsi="Arial" w:cs="Arial"/>
          <w:b/>
          <w:bCs/>
          <w:lang w:val="en-US"/>
        </w:rPr>
      </w:pPr>
      <w:r w:rsidRPr="00F85986">
        <w:rPr>
          <w:rStyle w:val="Hyperlink"/>
          <w:rFonts w:cs="Arial"/>
          <w:b/>
          <w:bCs/>
          <w:i/>
          <w:color w:val="auto"/>
          <w:sz w:val="24"/>
          <w:szCs w:val="24"/>
          <w:u w:val="none"/>
          <w:lang w:val="en-US"/>
        </w:rPr>
        <w:t>You can also find out more at</w:t>
      </w:r>
      <w:proofErr w:type="gramStart"/>
      <w:r w:rsidRPr="00F85986">
        <w:rPr>
          <w:rStyle w:val="Hyperlink"/>
          <w:rFonts w:cs="Arial"/>
          <w:b/>
          <w:bCs/>
          <w:i/>
          <w:color w:val="auto"/>
          <w:sz w:val="24"/>
          <w:szCs w:val="24"/>
          <w:u w:val="none"/>
          <w:lang w:val="en-US"/>
        </w:rPr>
        <w:t>:-</w:t>
      </w:r>
      <w:proofErr w:type="gramEnd"/>
      <w:r w:rsidR="00D10320">
        <w:rPr>
          <w:rStyle w:val="Hyperlink"/>
          <w:rFonts w:cs="Arial"/>
          <w:b/>
          <w:bCs/>
          <w:i/>
          <w:color w:val="auto"/>
          <w:sz w:val="24"/>
          <w:szCs w:val="24"/>
          <w:u w:val="none"/>
          <w:lang w:val="en-US"/>
        </w:rPr>
        <w:t xml:space="preserve">   </w:t>
      </w:r>
      <w:r w:rsidR="00AE4CDC">
        <w:rPr>
          <w:rFonts w:ascii="Wingdings" w:hAnsi="Wingdings" w:cs="Arial"/>
          <w:b/>
          <w:bCs/>
          <w:noProof/>
          <w:color w:val="0563C1" w:themeColor="hyperlink"/>
          <w:u w:val="single"/>
          <w:lang w:eastAsia="en-GB"/>
        </w:rPr>
        <w:drawing>
          <wp:inline distT="0" distB="0" distL="0" distR="0">
            <wp:extent cx="200025" cy="200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024px-Blue_computer_icon.svg[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inline>
        </w:drawing>
      </w:r>
      <w:r w:rsidR="00AE4CDC">
        <w:t xml:space="preserve">       </w:t>
      </w:r>
      <w:hyperlink r:id="rId14" w:history="1">
        <w:r w:rsidR="00492880" w:rsidRPr="00EE0DBB">
          <w:rPr>
            <w:rStyle w:val="Hyperlink"/>
            <w:rFonts w:ascii="Arial" w:hAnsi="Arial" w:cs="Arial"/>
            <w:b/>
            <w:bCs/>
            <w:lang w:val="en-US"/>
          </w:rPr>
          <w:t>www.virtual-school.org.uk</w:t>
        </w:r>
      </w:hyperlink>
    </w:p>
    <w:p w:rsidR="001E2234" w:rsidRDefault="00290BFC" w:rsidP="00290BFC">
      <w:pPr>
        <w:jc w:val="right"/>
        <w:rPr>
          <w:i/>
          <w:sz w:val="24"/>
          <w:szCs w:val="24"/>
        </w:rPr>
      </w:pPr>
      <w:r>
        <w:rPr>
          <w:i/>
          <w:sz w:val="24"/>
          <w:szCs w:val="24"/>
        </w:rPr>
        <w:tab/>
      </w:r>
    </w:p>
    <w:sectPr w:rsidR="001E2234" w:rsidSect="00C16A9F">
      <w:footerReference w:type="default" r:id="rId15"/>
      <w:pgSz w:w="11906" w:h="16838"/>
      <w:pgMar w:top="1440" w:right="1440" w:bottom="1440" w:left="1440" w:header="708" w:footer="708" w:gutter="0"/>
      <w:pgBorders w:offsetFrom="page">
        <w:top w:val="single" w:sz="8" w:space="24" w:color="385623" w:themeColor="accent6" w:themeShade="80"/>
        <w:left w:val="single" w:sz="8" w:space="24" w:color="385623" w:themeColor="accent6" w:themeShade="80"/>
        <w:bottom w:val="single" w:sz="8" w:space="24" w:color="385623" w:themeColor="accent6" w:themeShade="80"/>
        <w:right w:val="single" w:sz="8" w:space="24" w:color="385623" w:themeColor="accent6"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AFF" w:rsidRDefault="00372AFF" w:rsidP="004E7168">
      <w:pPr>
        <w:spacing w:after="0" w:line="240" w:lineRule="auto"/>
      </w:pPr>
      <w:r>
        <w:separator/>
      </w:r>
    </w:p>
  </w:endnote>
  <w:endnote w:type="continuationSeparator" w:id="0">
    <w:p w:rsidR="00372AFF" w:rsidRDefault="00372AFF" w:rsidP="004E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09919"/>
      <w:docPartObj>
        <w:docPartGallery w:val="Page Numbers (Bottom of Page)"/>
        <w:docPartUnique/>
      </w:docPartObj>
    </w:sdtPr>
    <w:sdtEndPr>
      <w:rPr>
        <w:noProof/>
      </w:rPr>
    </w:sdtEndPr>
    <w:sdtContent>
      <w:p w:rsidR="004E7168" w:rsidRDefault="004E7168">
        <w:pPr>
          <w:pStyle w:val="Footer"/>
          <w:jc w:val="center"/>
        </w:pPr>
        <w:r>
          <w:fldChar w:fldCharType="begin"/>
        </w:r>
        <w:r>
          <w:instrText xml:space="preserve"> PAGE   \* MERGEFORMAT </w:instrText>
        </w:r>
        <w:r>
          <w:fldChar w:fldCharType="separate"/>
        </w:r>
        <w:r w:rsidR="00203865">
          <w:rPr>
            <w:noProof/>
          </w:rPr>
          <w:t>3</w:t>
        </w:r>
        <w:r>
          <w:rPr>
            <w:noProof/>
          </w:rPr>
          <w:fldChar w:fldCharType="end"/>
        </w:r>
      </w:p>
    </w:sdtContent>
  </w:sdt>
  <w:p w:rsidR="004E7168" w:rsidRDefault="004E7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AFF" w:rsidRDefault="00372AFF" w:rsidP="004E7168">
      <w:pPr>
        <w:spacing w:after="0" w:line="240" w:lineRule="auto"/>
      </w:pPr>
      <w:r>
        <w:separator/>
      </w:r>
    </w:p>
  </w:footnote>
  <w:footnote w:type="continuationSeparator" w:id="0">
    <w:p w:rsidR="00372AFF" w:rsidRDefault="00372AFF" w:rsidP="004E71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8pt;height:768pt;visibility:visible;mso-wrap-style:square" o:bullet="t">
        <v:imagedata r:id="rId1" o:title=""/>
      </v:shape>
    </w:pict>
  </w:numPicBullet>
  <w:abstractNum w:abstractNumId="0" w15:restartNumberingAfterBreak="0">
    <w:nsid w:val="08E444BB"/>
    <w:multiLevelType w:val="hybridMultilevel"/>
    <w:tmpl w:val="F2206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C2757C"/>
    <w:multiLevelType w:val="hybridMultilevel"/>
    <w:tmpl w:val="C448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55C35"/>
    <w:multiLevelType w:val="hybridMultilevel"/>
    <w:tmpl w:val="AB52F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6F0ADD"/>
    <w:multiLevelType w:val="hybridMultilevel"/>
    <w:tmpl w:val="E82C9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103FC9"/>
    <w:multiLevelType w:val="hybridMultilevel"/>
    <w:tmpl w:val="FE443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C732D0"/>
    <w:multiLevelType w:val="hybridMultilevel"/>
    <w:tmpl w:val="D30E4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2F7A0B"/>
    <w:multiLevelType w:val="hybridMultilevel"/>
    <w:tmpl w:val="963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777F1D"/>
    <w:multiLevelType w:val="hybridMultilevel"/>
    <w:tmpl w:val="78D6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B1F49"/>
    <w:multiLevelType w:val="hybridMultilevel"/>
    <w:tmpl w:val="DCE8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C0A6F"/>
    <w:multiLevelType w:val="singleLevel"/>
    <w:tmpl w:val="A75861CE"/>
    <w:lvl w:ilvl="0">
      <w:start w:val="1"/>
      <w:numFmt w:val="lowerLetter"/>
      <w:lvlText w:val="%1)"/>
      <w:lvlJc w:val="left"/>
      <w:pPr>
        <w:tabs>
          <w:tab w:val="num" w:pos="397"/>
        </w:tabs>
        <w:ind w:left="397" w:hanging="397"/>
      </w:pPr>
    </w:lvl>
  </w:abstractNum>
  <w:abstractNum w:abstractNumId="10" w15:restartNumberingAfterBreak="0">
    <w:nsid w:val="518D452C"/>
    <w:multiLevelType w:val="multilevel"/>
    <w:tmpl w:val="FAC2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A14F0"/>
    <w:multiLevelType w:val="hybridMultilevel"/>
    <w:tmpl w:val="F5345A5A"/>
    <w:lvl w:ilvl="0" w:tplc="C1988ED0">
      <w:start w:val="1"/>
      <w:numFmt w:val="bullet"/>
      <w:lvlText w:val=""/>
      <w:lvlPicBulletId w:val="0"/>
      <w:lvlJc w:val="left"/>
      <w:pPr>
        <w:tabs>
          <w:tab w:val="num" w:pos="720"/>
        </w:tabs>
        <w:ind w:left="720" w:hanging="360"/>
      </w:pPr>
      <w:rPr>
        <w:rFonts w:ascii="Symbol" w:hAnsi="Symbol" w:hint="default"/>
      </w:rPr>
    </w:lvl>
    <w:lvl w:ilvl="1" w:tplc="4D948260" w:tentative="1">
      <w:start w:val="1"/>
      <w:numFmt w:val="bullet"/>
      <w:lvlText w:val=""/>
      <w:lvlJc w:val="left"/>
      <w:pPr>
        <w:tabs>
          <w:tab w:val="num" w:pos="1440"/>
        </w:tabs>
        <w:ind w:left="1440" w:hanging="360"/>
      </w:pPr>
      <w:rPr>
        <w:rFonts w:ascii="Symbol" w:hAnsi="Symbol" w:hint="default"/>
      </w:rPr>
    </w:lvl>
    <w:lvl w:ilvl="2" w:tplc="32C2B238" w:tentative="1">
      <w:start w:val="1"/>
      <w:numFmt w:val="bullet"/>
      <w:lvlText w:val=""/>
      <w:lvlJc w:val="left"/>
      <w:pPr>
        <w:tabs>
          <w:tab w:val="num" w:pos="2160"/>
        </w:tabs>
        <w:ind w:left="2160" w:hanging="360"/>
      </w:pPr>
      <w:rPr>
        <w:rFonts w:ascii="Symbol" w:hAnsi="Symbol" w:hint="default"/>
      </w:rPr>
    </w:lvl>
    <w:lvl w:ilvl="3" w:tplc="B5E0C058" w:tentative="1">
      <w:start w:val="1"/>
      <w:numFmt w:val="bullet"/>
      <w:lvlText w:val=""/>
      <w:lvlJc w:val="left"/>
      <w:pPr>
        <w:tabs>
          <w:tab w:val="num" w:pos="2880"/>
        </w:tabs>
        <w:ind w:left="2880" w:hanging="360"/>
      </w:pPr>
      <w:rPr>
        <w:rFonts w:ascii="Symbol" w:hAnsi="Symbol" w:hint="default"/>
      </w:rPr>
    </w:lvl>
    <w:lvl w:ilvl="4" w:tplc="8FF06E0E" w:tentative="1">
      <w:start w:val="1"/>
      <w:numFmt w:val="bullet"/>
      <w:lvlText w:val=""/>
      <w:lvlJc w:val="left"/>
      <w:pPr>
        <w:tabs>
          <w:tab w:val="num" w:pos="3600"/>
        </w:tabs>
        <w:ind w:left="3600" w:hanging="360"/>
      </w:pPr>
      <w:rPr>
        <w:rFonts w:ascii="Symbol" w:hAnsi="Symbol" w:hint="default"/>
      </w:rPr>
    </w:lvl>
    <w:lvl w:ilvl="5" w:tplc="B0A88DA8" w:tentative="1">
      <w:start w:val="1"/>
      <w:numFmt w:val="bullet"/>
      <w:lvlText w:val=""/>
      <w:lvlJc w:val="left"/>
      <w:pPr>
        <w:tabs>
          <w:tab w:val="num" w:pos="4320"/>
        </w:tabs>
        <w:ind w:left="4320" w:hanging="360"/>
      </w:pPr>
      <w:rPr>
        <w:rFonts w:ascii="Symbol" w:hAnsi="Symbol" w:hint="default"/>
      </w:rPr>
    </w:lvl>
    <w:lvl w:ilvl="6" w:tplc="D60660E2" w:tentative="1">
      <w:start w:val="1"/>
      <w:numFmt w:val="bullet"/>
      <w:lvlText w:val=""/>
      <w:lvlJc w:val="left"/>
      <w:pPr>
        <w:tabs>
          <w:tab w:val="num" w:pos="5040"/>
        </w:tabs>
        <w:ind w:left="5040" w:hanging="360"/>
      </w:pPr>
      <w:rPr>
        <w:rFonts w:ascii="Symbol" w:hAnsi="Symbol" w:hint="default"/>
      </w:rPr>
    </w:lvl>
    <w:lvl w:ilvl="7" w:tplc="3DD2F6C4" w:tentative="1">
      <w:start w:val="1"/>
      <w:numFmt w:val="bullet"/>
      <w:lvlText w:val=""/>
      <w:lvlJc w:val="left"/>
      <w:pPr>
        <w:tabs>
          <w:tab w:val="num" w:pos="5760"/>
        </w:tabs>
        <w:ind w:left="5760" w:hanging="360"/>
      </w:pPr>
      <w:rPr>
        <w:rFonts w:ascii="Symbol" w:hAnsi="Symbol" w:hint="default"/>
      </w:rPr>
    </w:lvl>
    <w:lvl w:ilvl="8" w:tplc="5B1CB51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0777219"/>
    <w:multiLevelType w:val="hybridMultilevel"/>
    <w:tmpl w:val="B5061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A74B6E"/>
    <w:multiLevelType w:val="hybridMultilevel"/>
    <w:tmpl w:val="656072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9A3A9A"/>
    <w:multiLevelType w:val="hybridMultilevel"/>
    <w:tmpl w:val="BC2C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2F7F7A"/>
    <w:multiLevelType w:val="hybridMultilevel"/>
    <w:tmpl w:val="27CE706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4"/>
  </w:num>
  <w:num w:numId="3">
    <w:abstractNumId w:val="5"/>
  </w:num>
  <w:num w:numId="4">
    <w:abstractNumId w:val="9"/>
  </w:num>
  <w:num w:numId="5">
    <w:abstractNumId w:val="7"/>
  </w:num>
  <w:num w:numId="6">
    <w:abstractNumId w:val="8"/>
  </w:num>
  <w:num w:numId="7">
    <w:abstractNumId w:val="6"/>
  </w:num>
  <w:num w:numId="8">
    <w:abstractNumId w:val="3"/>
  </w:num>
  <w:num w:numId="9">
    <w:abstractNumId w:val="1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11"/>
  </w:num>
  <w:num w:numId="14">
    <w:abstractNumId w:val="13"/>
  </w:num>
  <w:num w:numId="15">
    <w:abstractNumId w:val="0"/>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81D"/>
    <w:rsid w:val="00002ADE"/>
    <w:rsid w:val="00026758"/>
    <w:rsid w:val="000351F3"/>
    <w:rsid w:val="000602F5"/>
    <w:rsid w:val="00064CDB"/>
    <w:rsid w:val="0007196D"/>
    <w:rsid w:val="000818E8"/>
    <w:rsid w:val="00097FF7"/>
    <w:rsid w:val="000B7635"/>
    <w:rsid w:val="000C3D32"/>
    <w:rsid w:val="00123EE8"/>
    <w:rsid w:val="00133816"/>
    <w:rsid w:val="00140D13"/>
    <w:rsid w:val="00151320"/>
    <w:rsid w:val="00163459"/>
    <w:rsid w:val="00171859"/>
    <w:rsid w:val="001977AF"/>
    <w:rsid w:val="001A5F46"/>
    <w:rsid w:val="001B4160"/>
    <w:rsid w:val="001D140E"/>
    <w:rsid w:val="001E2234"/>
    <w:rsid w:val="001F22D7"/>
    <w:rsid w:val="001F2842"/>
    <w:rsid w:val="00203865"/>
    <w:rsid w:val="002202E7"/>
    <w:rsid w:val="002455CF"/>
    <w:rsid w:val="002677CA"/>
    <w:rsid w:val="00277045"/>
    <w:rsid w:val="00285649"/>
    <w:rsid w:val="00287990"/>
    <w:rsid w:val="00290BFC"/>
    <w:rsid w:val="00294523"/>
    <w:rsid w:val="00297BE9"/>
    <w:rsid w:val="002F0159"/>
    <w:rsid w:val="003053B7"/>
    <w:rsid w:val="0030642B"/>
    <w:rsid w:val="00322A36"/>
    <w:rsid w:val="00334E7A"/>
    <w:rsid w:val="00345031"/>
    <w:rsid w:val="0035006E"/>
    <w:rsid w:val="00356A04"/>
    <w:rsid w:val="00366AF0"/>
    <w:rsid w:val="00372AFF"/>
    <w:rsid w:val="003A38A2"/>
    <w:rsid w:val="003B2E7A"/>
    <w:rsid w:val="003B5EE5"/>
    <w:rsid w:val="003C705D"/>
    <w:rsid w:val="003D65D3"/>
    <w:rsid w:val="003E21B4"/>
    <w:rsid w:val="0048496F"/>
    <w:rsid w:val="00487A97"/>
    <w:rsid w:val="00492880"/>
    <w:rsid w:val="004A65F5"/>
    <w:rsid w:val="004E3F5F"/>
    <w:rsid w:val="004E7168"/>
    <w:rsid w:val="00520E72"/>
    <w:rsid w:val="005221B2"/>
    <w:rsid w:val="0053124F"/>
    <w:rsid w:val="00560B89"/>
    <w:rsid w:val="00574E4A"/>
    <w:rsid w:val="005906CD"/>
    <w:rsid w:val="005A4875"/>
    <w:rsid w:val="005C50ED"/>
    <w:rsid w:val="005D7B14"/>
    <w:rsid w:val="005E39ED"/>
    <w:rsid w:val="005E6256"/>
    <w:rsid w:val="005F1A44"/>
    <w:rsid w:val="00605823"/>
    <w:rsid w:val="006175F9"/>
    <w:rsid w:val="00660026"/>
    <w:rsid w:val="006967CB"/>
    <w:rsid w:val="006A69D8"/>
    <w:rsid w:val="006C0747"/>
    <w:rsid w:val="006E4B29"/>
    <w:rsid w:val="007242FF"/>
    <w:rsid w:val="0073494B"/>
    <w:rsid w:val="00736890"/>
    <w:rsid w:val="00752851"/>
    <w:rsid w:val="0076560D"/>
    <w:rsid w:val="0078050C"/>
    <w:rsid w:val="007D2D3A"/>
    <w:rsid w:val="007F0A9A"/>
    <w:rsid w:val="0080448B"/>
    <w:rsid w:val="00821752"/>
    <w:rsid w:val="00864E20"/>
    <w:rsid w:val="0088333A"/>
    <w:rsid w:val="008D7FD0"/>
    <w:rsid w:val="00913A5C"/>
    <w:rsid w:val="00916FF1"/>
    <w:rsid w:val="009343E0"/>
    <w:rsid w:val="0094356A"/>
    <w:rsid w:val="00964EB0"/>
    <w:rsid w:val="00973FC3"/>
    <w:rsid w:val="0097780C"/>
    <w:rsid w:val="009833CC"/>
    <w:rsid w:val="009A496F"/>
    <w:rsid w:val="009C3AD4"/>
    <w:rsid w:val="009D74F5"/>
    <w:rsid w:val="009F0495"/>
    <w:rsid w:val="00A13048"/>
    <w:rsid w:val="00A1630D"/>
    <w:rsid w:val="00A519FB"/>
    <w:rsid w:val="00A6358C"/>
    <w:rsid w:val="00A9057C"/>
    <w:rsid w:val="00AA6217"/>
    <w:rsid w:val="00AA7A30"/>
    <w:rsid w:val="00AB22ED"/>
    <w:rsid w:val="00AC3471"/>
    <w:rsid w:val="00AE4CDC"/>
    <w:rsid w:val="00B452C8"/>
    <w:rsid w:val="00B555A2"/>
    <w:rsid w:val="00BB45DB"/>
    <w:rsid w:val="00BC081D"/>
    <w:rsid w:val="00BD056F"/>
    <w:rsid w:val="00BE2C4F"/>
    <w:rsid w:val="00C031C5"/>
    <w:rsid w:val="00C16A9F"/>
    <w:rsid w:val="00C354BA"/>
    <w:rsid w:val="00C454FE"/>
    <w:rsid w:val="00C6206F"/>
    <w:rsid w:val="00C62C9C"/>
    <w:rsid w:val="00C91268"/>
    <w:rsid w:val="00C91832"/>
    <w:rsid w:val="00CC2F92"/>
    <w:rsid w:val="00CE6858"/>
    <w:rsid w:val="00CF5475"/>
    <w:rsid w:val="00D10320"/>
    <w:rsid w:val="00D150D9"/>
    <w:rsid w:val="00D45D40"/>
    <w:rsid w:val="00D8269E"/>
    <w:rsid w:val="00D92784"/>
    <w:rsid w:val="00DB5876"/>
    <w:rsid w:val="00DC1D57"/>
    <w:rsid w:val="00DC763C"/>
    <w:rsid w:val="00DE02C8"/>
    <w:rsid w:val="00DE4391"/>
    <w:rsid w:val="00DF2648"/>
    <w:rsid w:val="00E10C5D"/>
    <w:rsid w:val="00E25852"/>
    <w:rsid w:val="00E51839"/>
    <w:rsid w:val="00E77D7E"/>
    <w:rsid w:val="00E91927"/>
    <w:rsid w:val="00E939E0"/>
    <w:rsid w:val="00ED03BB"/>
    <w:rsid w:val="00F04158"/>
    <w:rsid w:val="00F044EB"/>
    <w:rsid w:val="00F14304"/>
    <w:rsid w:val="00F20EE4"/>
    <w:rsid w:val="00F56779"/>
    <w:rsid w:val="00F56BE6"/>
    <w:rsid w:val="00F75E66"/>
    <w:rsid w:val="00F85986"/>
    <w:rsid w:val="00F912F8"/>
    <w:rsid w:val="00FD5647"/>
    <w:rsid w:val="00FE1A43"/>
    <w:rsid w:val="00FF0C39"/>
    <w:rsid w:val="00FF6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451D547-FACE-48A0-A565-9E124695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056F"/>
    <w:rPr>
      <w:color w:val="0563C1" w:themeColor="hyperlink"/>
      <w:u w:val="single"/>
    </w:rPr>
  </w:style>
  <w:style w:type="paragraph" w:styleId="NormalWeb">
    <w:name w:val="Normal (Web)"/>
    <w:basedOn w:val="Normal"/>
    <w:uiPriority w:val="99"/>
    <w:unhideWhenUsed/>
    <w:rsid w:val="001B4160"/>
    <w:pPr>
      <w:spacing w:before="100" w:beforeAutospacing="1" w:after="12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D74F5"/>
    <w:pPr>
      <w:ind w:left="720"/>
      <w:contextualSpacing/>
    </w:pPr>
  </w:style>
  <w:style w:type="paragraph" w:styleId="BalloonText">
    <w:name w:val="Balloon Text"/>
    <w:basedOn w:val="Normal"/>
    <w:link w:val="BalloonTextChar"/>
    <w:uiPriority w:val="99"/>
    <w:semiHidden/>
    <w:unhideWhenUsed/>
    <w:rsid w:val="00A163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30D"/>
    <w:rPr>
      <w:rFonts w:ascii="Segoe UI" w:hAnsi="Segoe UI" w:cs="Segoe UI"/>
      <w:sz w:val="18"/>
      <w:szCs w:val="18"/>
    </w:rPr>
  </w:style>
  <w:style w:type="character" w:styleId="FollowedHyperlink">
    <w:name w:val="FollowedHyperlink"/>
    <w:basedOn w:val="DefaultParagraphFont"/>
    <w:uiPriority w:val="99"/>
    <w:semiHidden/>
    <w:unhideWhenUsed/>
    <w:rsid w:val="00A1630D"/>
    <w:rPr>
      <w:color w:val="954F72" w:themeColor="followedHyperlink"/>
      <w:u w:val="single"/>
    </w:rPr>
  </w:style>
  <w:style w:type="character" w:styleId="Strong">
    <w:name w:val="Strong"/>
    <w:basedOn w:val="DefaultParagraphFont"/>
    <w:uiPriority w:val="22"/>
    <w:qFormat/>
    <w:rsid w:val="00287990"/>
    <w:rPr>
      <w:b/>
      <w:bCs/>
    </w:rPr>
  </w:style>
  <w:style w:type="paragraph" w:styleId="Header">
    <w:name w:val="header"/>
    <w:basedOn w:val="Normal"/>
    <w:link w:val="HeaderChar"/>
    <w:uiPriority w:val="99"/>
    <w:unhideWhenUsed/>
    <w:rsid w:val="004E7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168"/>
  </w:style>
  <w:style w:type="paragraph" w:styleId="Footer">
    <w:name w:val="footer"/>
    <w:basedOn w:val="Normal"/>
    <w:link w:val="FooterChar"/>
    <w:uiPriority w:val="99"/>
    <w:unhideWhenUsed/>
    <w:rsid w:val="004E7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75804">
      <w:bodyDiv w:val="1"/>
      <w:marLeft w:val="0"/>
      <w:marRight w:val="0"/>
      <w:marTop w:val="0"/>
      <w:marBottom w:val="0"/>
      <w:divBdr>
        <w:top w:val="none" w:sz="0" w:space="0" w:color="auto"/>
        <w:left w:val="none" w:sz="0" w:space="0" w:color="auto"/>
        <w:bottom w:val="none" w:sz="0" w:space="0" w:color="auto"/>
        <w:right w:val="none" w:sz="0" w:space="0" w:color="auto"/>
      </w:divBdr>
    </w:div>
    <w:div w:id="518541729">
      <w:bodyDiv w:val="1"/>
      <w:marLeft w:val="0"/>
      <w:marRight w:val="0"/>
      <w:marTop w:val="0"/>
      <w:marBottom w:val="0"/>
      <w:divBdr>
        <w:top w:val="none" w:sz="0" w:space="0" w:color="auto"/>
        <w:left w:val="none" w:sz="0" w:space="0" w:color="auto"/>
        <w:bottom w:val="none" w:sz="0" w:space="0" w:color="auto"/>
        <w:right w:val="none" w:sz="0" w:space="0" w:color="auto"/>
      </w:divBdr>
    </w:div>
    <w:div w:id="76017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re.farrant@norfolk.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0.jpeg"/><Relationship Id="rId14" Type="http://schemas.openxmlformats.org/officeDocument/2006/relationships/hyperlink" Target="http://www.virtual-school.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1038C-1CF3-41A5-8960-8C1DBBFA0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907</Words>
  <Characters>5171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Rudd, Wendy</dc:creator>
  <cp:keywords/>
  <dc:description/>
  <cp:lastModifiedBy>Rudd, Wendy</cp:lastModifiedBy>
  <cp:revision>2</cp:revision>
  <cp:lastPrinted>2018-01-19T11:11:00Z</cp:lastPrinted>
  <dcterms:created xsi:type="dcterms:W3CDTF">2018-02-16T10:39:00Z</dcterms:created>
  <dcterms:modified xsi:type="dcterms:W3CDTF">2018-02-16T10:39:00Z</dcterms:modified>
</cp:coreProperties>
</file>