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AA" w:rsidRPr="00216950" w:rsidRDefault="006278FE" w:rsidP="009A3CF5">
      <w:pPr>
        <w:jc w:val="center"/>
        <w:rPr>
          <w:rFonts w:ascii="Arial" w:hAnsi="Arial" w:cs="Arial"/>
          <w:u w:val="single"/>
        </w:rPr>
      </w:pPr>
      <w:r w:rsidRPr="00216950">
        <w:rPr>
          <w:rFonts w:ascii="Arial" w:hAnsi="Arial" w:cs="Arial"/>
          <w:u w:val="single"/>
        </w:rPr>
        <w:t>National immunisation programmes delivered within educational settings of Norfolk</w:t>
      </w:r>
      <w:r w:rsidR="00F5007E">
        <w:rPr>
          <w:rFonts w:ascii="Arial" w:hAnsi="Arial" w:cs="Arial"/>
          <w:u w:val="single"/>
        </w:rPr>
        <w:t xml:space="preserve"> County</w:t>
      </w:r>
    </w:p>
    <w:p w:rsidR="006278FE" w:rsidRPr="00872A26" w:rsidRDefault="00872A26" w:rsidP="00216950">
      <w:pPr>
        <w:tabs>
          <w:tab w:val="left" w:pos="3420"/>
        </w:tabs>
        <w:rPr>
          <w:rFonts w:ascii="Arial" w:hAnsi="Arial" w:cs="Arial"/>
          <w:b/>
          <w:u w:val="single"/>
        </w:rPr>
      </w:pPr>
      <w:r w:rsidRPr="00872A26">
        <w:rPr>
          <w:rFonts w:ascii="Arial" w:hAnsi="Arial" w:cs="Arial"/>
          <w:b/>
        </w:rPr>
        <w:t>1.0</w:t>
      </w:r>
      <w:r w:rsidRPr="00BA6117">
        <w:rPr>
          <w:rFonts w:ascii="Arial" w:hAnsi="Arial" w:cs="Arial"/>
          <w:b/>
        </w:rPr>
        <w:t xml:space="preserve"> </w:t>
      </w:r>
      <w:r w:rsidR="006278FE" w:rsidRPr="00BC2BCB">
        <w:rPr>
          <w:rFonts w:ascii="Arial" w:hAnsi="Arial" w:cs="Arial"/>
          <w:u w:val="single"/>
        </w:rPr>
        <w:t>Introduction</w:t>
      </w:r>
    </w:p>
    <w:p w:rsidR="00216950" w:rsidRDefault="006278FE">
      <w:pPr>
        <w:rPr>
          <w:rFonts w:ascii="Arial" w:hAnsi="Arial" w:cs="Arial"/>
        </w:rPr>
      </w:pPr>
      <w:r w:rsidRPr="009A3CF5">
        <w:rPr>
          <w:rFonts w:ascii="Arial" w:hAnsi="Arial" w:cs="Arial"/>
        </w:rPr>
        <w:t xml:space="preserve">The purpose of this paper is to advise the audience of the arrangements and future planning </w:t>
      </w:r>
      <w:r w:rsidR="009A3CF5" w:rsidRPr="009A3CF5">
        <w:rPr>
          <w:rFonts w:ascii="Arial" w:hAnsi="Arial" w:cs="Arial"/>
        </w:rPr>
        <w:t>needs for</w:t>
      </w:r>
      <w:r w:rsidRPr="009A3CF5">
        <w:rPr>
          <w:rFonts w:ascii="Arial" w:hAnsi="Arial" w:cs="Arial"/>
        </w:rPr>
        <w:t xml:space="preserve"> the delivery of national immunisation programmes for children </w:t>
      </w:r>
      <w:r w:rsidR="00F551F8">
        <w:rPr>
          <w:rFonts w:ascii="Arial" w:hAnsi="Arial" w:cs="Arial"/>
        </w:rPr>
        <w:t xml:space="preserve">from </w:t>
      </w:r>
      <w:r w:rsidR="00F5007E">
        <w:rPr>
          <w:rFonts w:ascii="Arial" w:hAnsi="Arial" w:cs="Arial"/>
        </w:rPr>
        <w:t>r</w:t>
      </w:r>
      <w:r w:rsidR="00546F08">
        <w:rPr>
          <w:rFonts w:ascii="Arial" w:hAnsi="Arial" w:cs="Arial"/>
        </w:rPr>
        <w:t>eception to year</w:t>
      </w:r>
      <w:r w:rsidR="003E2F8E">
        <w:rPr>
          <w:rFonts w:ascii="Arial" w:hAnsi="Arial" w:cs="Arial"/>
        </w:rPr>
        <w:t xml:space="preserve"> 1</w:t>
      </w:r>
      <w:r w:rsidR="00697E00">
        <w:rPr>
          <w:rFonts w:ascii="Arial" w:hAnsi="Arial" w:cs="Arial"/>
        </w:rPr>
        <w:t>0</w:t>
      </w:r>
      <w:r w:rsidRPr="009A3CF5">
        <w:rPr>
          <w:rFonts w:ascii="Arial" w:hAnsi="Arial" w:cs="Arial"/>
        </w:rPr>
        <w:t xml:space="preserve">. </w:t>
      </w:r>
      <w:r w:rsidR="00E12F4F">
        <w:rPr>
          <w:rStyle w:val="FootnoteReference"/>
          <w:rFonts w:ascii="Arial" w:hAnsi="Arial" w:cs="Arial"/>
        </w:rPr>
        <w:footnoteReference w:id="1"/>
      </w:r>
      <w:r w:rsidR="00E12F4F">
        <w:rPr>
          <w:rFonts w:ascii="Arial" w:hAnsi="Arial" w:cs="Arial"/>
        </w:rPr>
        <w:t xml:space="preserve"> </w:t>
      </w:r>
    </w:p>
    <w:p w:rsidR="004A51BD" w:rsidRPr="009A3CF5" w:rsidRDefault="00E12F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51BD">
        <w:rPr>
          <w:rFonts w:ascii="Arial" w:hAnsi="Arial" w:cs="Arial"/>
        </w:rPr>
        <w:t>Immunisation is a vital method of</w:t>
      </w:r>
      <w:r w:rsidR="00483777">
        <w:rPr>
          <w:rFonts w:ascii="Arial" w:hAnsi="Arial" w:cs="Arial"/>
        </w:rPr>
        <w:t xml:space="preserve"> preventing illness and possibly death for large numbers of people. Its success is dependent upon acces</w:t>
      </w:r>
      <w:r w:rsidR="00AA2CF9">
        <w:rPr>
          <w:rFonts w:ascii="Arial" w:hAnsi="Arial" w:cs="Arial"/>
        </w:rPr>
        <w:t>s to those</w:t>
      </w:r>
      <w:r w:rsidR="00483777">
        <w:rPr>
          <w:rFonts w:ascii="Arial" w:hAnsi="Arial" w:cs="Arial"/>
        </w:rPr>
        <w:t xml:space="preserve"> numbers in order to </w:t>
      </w:r>
      <w:r w:rsidR="003E2F8E">
        <w:rPr>
          <w:rFonts w:ascii="Arial" w:hAnsi="Arial" w:cs="Arial"/>
        </w:rPr>
        <w:t>sufficiently vaccinate</w:t>
      </w:r>
      <w:r w:rsidR="00483777">
        <w:rPr>
          <w:rFonts w:ascii="Arial" w:hAnsi="Arial" w:cs="Arial"/>
        </w:rPr>
        <w:t xml:space="preserve"> to develop ‘herd immunity’</w:t>
      </w:r>
      <w:r w:rsidR="00211E8E">
        <w:rPr>
          <w:rFonts w:ascii="Arial" w:hAnsi="Arial" w:cs="Arial"/>
        </w:rPr>
        <w:t xml:space="preserve"> </w:t>
      </w:r>
      <w:hyperlink r:id="rId9" w:history="1">
        <w:r w:rsidR="00211E8E" w:rsidRPr="00211E8E">
          <w:rPr>
            <w:rStyle w:val="Hyperlink"/>
            <w:rFonts w:ascii="Arial" w:hAnsi="Arial" w:cs="Arial"/>
          </w:rPr>
          <w:t>http://www.vaccinestoday.eu/vaccines/what-is-herd-immunity/</w:t>
        </w:r>
      </w:hyperlink>
      <w:r w:rsidR="00483777">
        <w:rPr>
          <w:rFonts w:ascii="Arial" w:hAnsi="Arial" w:cs="Arial"/>
        </w:rPr>
        <w:t xml:space="preserve">. This </w:t>
      </w:r>
      <w:r w:rsidR="00211E8E">
        <w:rPr>
          <w:rFonts w:ascii="Arial" w:hAnsi="Arial" w:cs="Arial"/>
        </w:rPr>
        <w:t>level of</w:t>
      </w:r>
      <w:r w:rsidR="00BF694D">
        <w:rPr>
          <w:rFonts w:ascii="Arial" w:hAnsi="Arial" w:cs="Arial"/>
        </w:rPr>
        <w:t xml:space="preserve"> </w:t>
      </w:r>
      <w:r w:rsidR="00483777">
        <w:rPr>
          <w:rFonts w:ascii="Arial" w:hAnsi="Arial" w:cs="Arial"/>
        </w:rPr>
        <w:t xml:space="preserve">immunity </w:t>
      </w:r>
      <w:r w:rsidR="00AA2CF9">
        <w:rPr>
          <w:rFonts w:ascii="Arial" w:hAnsi="Arial" w:cs="Arial"/>
        </w:rPr>
        <w:t xml:space="preserve">also </w:t>
      </w:r>
      <w:r w:rsidR="00483777">
        <w:rPr>
          <w:rFonts w:ascii="Arial" w:hAnsi="Arial" w:cs="Arial"/>
        </w:rPr>
        <w:t xml:space="preserve">protects those people who are </w:t>
      </w:r>
      <w:r w:rsidR="00AA2CF9">
        <w:rPr>
          <w:rFonts w:ascii="Arial" w:hAnsi="Arial" w:cs="Arial"/>
        </w:rPr>
        <w:t>not able to be vaccinated</w:t>
      </w:r>
      <w:r w:rsidR="00483777">
        <w:rPr>
          <w:rFonts w:ascii="Arial" w:hAnsi="Arial" w:cs="Arial"/>
        </w:rPr>
        <w:t xml:space="preserve"> </w:t>
      </w:r>
      <w:r w:rsidR="00AA2CF9">
        <w:rPr>
          <w:rFonts w:ascii="Arial" w:hAnsi="Arial" w:cs="Arial"/>
        </w:rPr>
        <w:t xml:space="preserve">by drastically reducing the transmission of the diseases. </w:t>
      </w:r>
    </w:p>
    <w:p w:rsidR="00C83914" w:rsidRPr="00BA6117" w:rsidRDefault="00872A26">
      <w:pPr>
        <w:rPr>
          <w:rFonts w:ascii="Arial" w:hAnsi="Arial" w:cs="Arial"/>
          <w:b/>
          <w:u w:val="single"/>
        </w:rPr>
      </w:pPr>
      <w:r w:rsidRPr="00BA6117">
        <w:rPr>
          <w:rFonts w:ascii="Arial" w:hAnsi="Arial" w:cs="Arial"/>
          <w:b/>
        </w:rPr>
        <w:t xml:space="preserve">2.0 </w:t>
      </w:r>
      <w:r w:rsidR="00C83914" w:rsidRPr="00BC2BCB">
        <w:rPr>
          <w:rFonts w:ascii="Arial" w:hAnsi="Arial" w:cs="Arial"/>
          <w:u w:val="single"/>
        </w:rPr>
        <w:t>Overview</w:t>
      </w:r>
    </w:p>
    <w:p w:rsidR="00BA6117" w:rsidRDefault="001C50E9">
      <w:pPr>
        <w:rPr>
          <w:rFonts w:ascii="Arial" w:hAnsi="Arial" w:cs="Arial"/>
        </w:rPr>
      </w:pPr>
      <w:r w:rsidRPr="009A3CF5">
        <w:rPr>
          <w:rFonts w:ascii="Arial" w:hAnsi="Arial" w:cs="Arial"/>
        </w:rPr>
        <w:t xml:space="preserve">In the last </w:t>
      </w:r>
      <w:r w:rsidR="00BA6117">
        <w:rPr>
          <w:rFonts w:ascii="Arial" w:hAnsi="Arial" w:cs="Arial"/>
        </w:rPr>
        <w:t>two</w:t>
      </w:r>
      <w:r w:rsidR="00BA6117" w:rsidRPr="009A3CF5">
        <w:rPr>
          <w:rFonts w:ascii="Arial" w:hAnsi="Arial" w:cs="Arial"/>
        </w:rPr>
        <w:t xml:space="preserve"> </w:t>
      </w:r>
      <w:r w:rsidRPr="009A3CF5">
        <w:rPr>
          <w:rFonts w:ascii="Arial" w:hAnsi="Arial" w:cs="Arial"/>
        </w:rPr>
        <w:t xml:space="preserve">years there </w:t>
      </w:r>
      <w:r w:rsidR="009B3465">
        <w:rPr>
          <w:rFonts w:ascii="Arial" w:hAnsi="Arial" w:cs="Arial"/>
        </w:rPr>
        <w:t>has been an increase in the number of new vaccination programmes expected to be delivered to</w:t>
      </w:r>
      <w:r w:rsidR="00394132" w:rsidRPr="009A3CF5">
        <w:rPr>
          <w:rFonts w:ascii="Arial" w:hAnsi="Arial" w:cs="Arial"/>
        </w:rPr>
        <w:t xml:space="preserve"> </w:t>
      </w:r>
      <w:r w:rsidR="009B3465">
        <w:rPr>
          <w:rFonts w:ascii="Arial" w:hAnsi="Arial" w:cs="Arial"/>
        </w:rPr>
        <w:t xml:space="preserve">babies and also to </w:t>
      </w:r>
      <w:r w:rsidR="00394132" w:rsidRPr="009A3CF5">
        <w:rPr>
          <w:rFonts w:ascii="Arial" w:hAnsi="Arial" w:cs="Arial"/>
        </w:rPr>
        <w:t>children of school age.</w:t>
      </w:r>
    </w:p>
    <w:p w:rsidR="00AE4B7A" w:rsidRPr="009A3CF5" w:rsidRDefault="00CC6BDE">
      <w:pPr>
        <w:rPr>
          <w:rFonts w:ascii="Arial" w:hAnsi="Arial" w:cs="Arial"/>
        </w:rPr>
      </w:pPr>
      <w:r w:rsidRPr="00BA6117">
        <w:rPr>
          <w:rFonts w:ascii="Arial" w:hAnsi="Arial" w:cs="Arial"/>
          <w:b/>
        </w:rPr>
        <w:t>2.1</w:t>
      </w:r>
      <w:r w:rsidRPr="009A3CF5">
        <w:rPr>
          <w:rFonts w:ascii="Arial" w:hAnsi="Arial" w:cs="Arial"/>
        </w:rPr>
        <w:t xml:space="preserve"> The</w:t>
      </w:r>
      <w:r w:rsidR="00394132" w:rsidRPr="009A3CF5">
        <w:rPr>
          <w:rFonts w:ascii="Arial" w:hAnsi="Arial" w:cs="Arial"/>
        </w:rPr>
        <w:t xml:space="preserve"> general schedule</w:t>
      </w:r>
      <w:r w:rsidR="009114A8">
        <w:rPr>
          <w:rFonts w:ascii="Arial" w:hAnsi="Arial" w:cs="Arial"/>
        </w:rPr>
        <w:t>s</w:t>
      </w:r>
      <w:r w:rsidR="009114A8">
        <w:rPr>
          <w:rStyle w:val="FootnoteReference"/>
          <w:rFonts w:ascii="Arial" w:hAnsi="Arial" w:cs="Arial"/>
        </w:rPr>
        <w:footnoteReference w:id="2"/>
      </w:r>
      <w:r w:rsidR="00D655E4" w:rsidRPr="009A3CF5">
        <w:rPr>
          <w:rFonts w:ascii="Arial" w:hAnsi="Arial" w:cs="Arial"/>
        </w:rPr>
        <w:t xml:space="preserve"> for </w:t>
      </w:r>
      <w:r w:rsidR="00D655E4" w:rsidRPr="009A3CF5">
        <w:rPr>
          <w:rFonts w:ascii="Arial" w:hAnsi="Arial" w:cs="Arial"/>
          <w:b/>
        </w:rPr>
        <w:t xml:space="preserve">Norfolk </w:t>
      </w:r>
      <w:r w:rsidR="00D655E4" w:rsidRPr="009A3CF5">
        <w:rPr>
          <w:rFonts w:ascii="Arial" w:hAnsi="Arial" w:cs="Arial"/>
        </w:rPr>
        <w:t xml:space="preserve">delivered by </w:t>
      </w:r>
      <w:r w:rsidR="00D655E4" w:rsidRPr="009A3CF5">
        <w:rPr>
          <w:rFonts w:ascii="Arial" w:hAnsi="Arial" w:cs="Arial"/>
          <w:u w:val="single"/>
        </w:rPr>
        <w:t xml:space="preserve">Norfolk Community </w:t>
      </w:r>
      <w:r w:rsidR="00FC4055">
        <w:rPr>
          <w:rFonts w:ascii="Arial" w:hAnsi="Arial" w:cs="Arial"/>
          <w:u w:val="single"/>
        </w:rPr>
        <w:t>H</w:t>
      </w:r>
      <w:r w:rsidR="00D655E4" w:rsidRPr="009A3CF5">
        <w:rPr>
          <w:rFonts w:ascii="Arial" w:hAnsi="Arial" w:cs="Arial"/>
          <w:u w:val="single"/>
        </w:rPr>
        <w:t xml:space="preserve">ealth and Care </w:t>
      </w:r>
      <w:r w:rsidR="006E45C3">
        <w:rPr>
          <w:rFonts w:ascii="Arial" w:hAnsi="Arial" w:cs="Arial"/>
          <w:u w:val="single"/>
        </w:rPr>
        <w:t xml:space="preserve">NHS </w:t>
      </w:r>
      <w:r w:rsidR="00D655E4" w:rsidRPr="009A3CF5">
        <w:rPr>
          <w:rFonts w:ascii="Arial" w:hAnsi="Arial" w:cs="Arial"/>
          <w:u w:val="single"/>
        </w:rPr>
        <w:t xml:space="preserve">Trust </w:t>
      </w:r>
      <w:r w:rsidR="009114A8">
        <w:rPr>
          <w:rFonts w:ascii="Arial" w:hAnsi="Arial" w:cs="Arial"/>
        </w:rPr>
        <w:t>are</w:t>
      </w:r>
      <w:r w:rsidR="009114A8" w:rsidRPr="009A3CF5">
        <w:rPr>
          <w:rFonts w:ascii="Arial" w:hAnsi="Arial" w:cs="Arial"/>
        </w:rPr>
        <w:t xml:space="preserve"> </w:t>
      </w:r>
      <w:r w:rsidR="00394132" w:rsidRPr="009A3CF5">
        <w:rPr>
          <w:rFonts w:ascii="Arial" w:hAnsi="Arial" w:cs="Arial"/>
        </w:rPr>
        <w:t>as follows-</w:t>
      </w:r>
      <w:r w:rsidR="00394132" w:rsidRPr="009A3CF5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779"/>
        <w:gridCol w:w="1623"/>
        <w:gridCol w:w="2897"/>
      </w:tblGrid>
      <w:tr w:rsidR="00AE4B7A" w:rsidRPr="009A3CF5" w:rsidTr="00E12F4F">
        <w:tc>
          <w:tcPr>
            <w:tcW w:w="2943" w:type="dxa"/>
            <w:shd w:val="clear" w:color="auto" w:fill="DBE5F1" w:themeFill="accent1" w:themeFillTint="33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Year for delivery</w:t>
            </w:r>
          </w:p>
        </w:tc>
        <w:tc>
          <w:tcPr>
            <w:tcW w:w="1779" w:type="dxa"/>
            <w:shd w:val="clear" w:color="auto" w:fill="DBE5F1" w:themeFill="accent1" w:themeFillTint="33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vaccine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To whom</w:t>
            </w:r>
          </w:p>
        </w:tc>
        <w:tc>
          <w:tcPr>
            <w:tcW w:w="2897" w:type="dxa"/>
            <w:shd w:val="clear" w:color="auto" w:fill="DBE5F1" w:themeFill="accent1" w:themeFillTint="33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Which term</w:t>
            </w:r>
          </w:p>
        </w:tc>
      </w:tr>
      <w:tr w:rsidR="00AE4B7A" w:rsidRPr="009A3CF5" w:rsidTr="00E12F4F">
        <w:tc>
          <w:tcPr>
            <w:tcW w:w="2943" w:type="dxa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79" w:type="dxa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HPV</w:t>
            </w:r>
          </w:p>
        </w:tc>
        <w:tc>
          <w:tcPr>
            <w:tcW w:w="1623" w:type="dxa"/>
          </w:tcPr>
          <w:p w:rsidR="00AE4B7A" w:rsidRPr="009A3CF5" w:rsidRDefault="00D655E4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G</w:t>
            </w:r>
            <w:r w:rsidR="00AE4B7A" w:rsidRPr="009A3CF5">
              <w:rPr>
                <w:rFonts w:ascii="Arial" w:hAnsi="Arial" w:cs="Arial"/>
                <w:sz w:val="20"/>
                <w:szCs w:val="20"/>
              </w:rPr>
              <w:t>irls</w:t>
            </w:r>
          </w:p>
        </w:tc>
        <w:tc>
          <w:tcPr>
            <w:tcW w:w="2897" w:type="dxa"/>
          </w:tcPr>
          <w:p w:rsidR="00AE4B7A" w:rsidRPr="009A3CF5" w:rsidRDefault="00D655E4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2 doses </w:t>
            </w:r>
            <w:r w:rsidR="009C78E4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Pr="009A3CF5">
              <w:rPr>
                <w:rFonts w:ascii="Arial" w:hAnsi="Arial" w:cs="Arial"/>
                <w:sz w:val="20"/>
                <w:szCs w:val="20"/>
              </w:rPr>
              <w:t xml:space="preserve">12 months’ apart </w:t>
            </w:r>
            <w:r w:rsidR="00170655" w:rsidRPr="009A3CF5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9C78E4">
              <w:rPr>
                <w:rFonts w:ascii="Arial" w:hAnsi="Arial" w:cs="Arial"/>
                <w:sz w:val="20"/>
                <w:szCs w:val="20"/>
              </w:rPr>
              <w:t xml:space="preserve">autumn </w:t>
            </w:r>
            <w:r w:rsidR="00170655" w:rsidRPr="009A3CF5">
              <w:rPr>
                <w:rFonts w:ascii="Arial" w:hAnsi="Arial" w:cs="Arial"/>
                <w:sz w:val="20"/>
                <w:szCs w:val="20"/>
              </w:rPr>
              <w:t>2014</w:t>
            </w:r>
            <w:r w:rsidR="009C78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DC8">
              <w:rPr>
                <w:rFonts w:ascii="Arial" w:hAnsi="Arial" w:cs="Arial"/>
                <w:sz w:val="20"/>
                <w:szCs w:val="20"/>
              </w:rPr>
              <w:t>-</w:t>
            </w:r>
            <w:r w:rsidR="009C78E4">
              <w:rPr>
                <w:rFonts w:ascii="Arial" w:hAnsi="Arial" w:cs="Arial"/>
                <w:sz w:val="20"/>
                <w:szCs w:val="20"/>
              </w:rPr>
              <w:t>schedule not yet confirmed</w:t>
            </w:r>
          </w:p>
        </w:tc>
      </w:tr>
      <w:tr w:rsidR="00AE4B7A" w:rsidRPr="009A3CF5" w:rsidTr="00E12F4F">
        <w:tc>
          <w:tcPr>
            <w:tcW w:w="2943" w:type="dxa"/>
            <w:tcBorders>
              <w:bottom w:val="single" w:sz="4" w:space="0" w:color="auto"/>
            </w:tcBorders>
          </w:tcPr>
          <w:p w:rsidR="00AE4B7A" w:rsidRPr="009A3CF5" w:rsidRDefault="00233501" w:rsidP="00697E00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10</w:t>
            </w:r>
            <w:r w:rsidR="0041386A" w:rsidRPr="009A3C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Meningitis C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AE4B7A" w:rsidRPr="009A3CF5" w:rsidRDefault="00E87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="00AE4B7A"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:rsidR="00AE4B7A" w:rsidRPr="009A3CF5" w:rsidRDefault="00AE4B7A" w:rsidP="00D655E4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One </w:t>
            </w:r>
            <w:r w:rsidR="00D655E4" w:rsidRPr="009A3CF5">
              <w:rPr>
                <w:rFonts w:ascii="Arial" w:hAnsi="Arial" w:cs="Arial"/>
                <w:sz w:val="20"/>
                <w:szCs w:val="20"/>
              </w:rPr>
              <w:t>dose usually S</w:t>
            </w:r>
            <w:r w:rsidRPr="009A3CF5">
              <w:rPr>
                <w:rFonts w:ascii="Arial" w:hAnsi="Arial" w:cs="Arial"/>
                <w:sz w:val="20"/>
                <w:szCs w:val="20"/>
              </w:rPr>
              <w:t xml:space="preserve">pring </w:t>
            </w:r>
          </w:p>
        </w:tc>
      </w:tr>
      <w:tr w:rsidR="00A56B76" w:rsidRPr="009A3CF5" w:rsidTr="00E00077">
        <w:tc>
          <w:tcPr>
            <w:tcW w:w="9242" w:type="dxa"/>
            <w:gridSpan w:val="4"/>
            <w:shd w:val="clear" w:color="auto" w:fill="B8CCE4" w:themeFill="accent1" w:themeFillTint="66"/>
          </w:tcPr>
          <w:p w:rsidR="00A56B76" w:rsidRPr="009A3CF5" w:rsidRDefault="00A56B76">
            <w:pPr>
              <w:rPr>
                <w:rFonts w:ascii="Arial" w:hAnsi="Arial" w:cs="Arial"/>
                <w:sz w:val="20"/>
                <w:szCs w:val="20"/>
              </w:rPr>
            </w:pPr>
            <w:r w:rsidRPr="00A56B76">
              <w:rPr>
                <w:rFonts w:ascii="Arial" w:hAnsi="Arial" w:cs="Arial"/>
                <w:b/>
                <w:sz w:val="20"/>
                <w:szCs w:val="20"/>
              </w:rPr>
              <w:t>Highly likely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A3CF5">
              <w:rPr>
                <w:rFonts w:ascii="Arial" w:hAnsi="Arial" w:cs="Arial"/>
                <w:sz w:val="20"/>
                <w:szCs w:val="20"/>
              </w:rPr>
              <w:t>o be introduced Sept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CF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CF5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- awaiting final commissioning agreement</w:t>
            </w:r>
          </w:p>
        </w:tc>
      </w:tr>
      <w:tr w:rsidR="00AE4B7A" w:rsidRPr="009A3CF5" w:rsidTr="00E12F4F">
        <w:tc>
          <w:tcPr>
            <w:tcW w:w="2943" w:type="dxa"/>
          </w:tcPr>
          <w:p w:rsidR="00AE4B7A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7 &amp; 8</w:t>
            </w:r>
          </w:p>
        </w:tc>
        <w:tc>
          <w:tcPr>
            <w:tcW w:w="1779" w:type="dxa"/>
          </w:tcPr>
          <w:p w:rsidR="00AE4B7A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Seasonal influenza</w:t>
            </w:r>
            <w:r w:rsidR="00CC6BDE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9C78E4">
              <w:rPr>
                <w:rFonts w:ascii="Arial" w:hAnsi="Arial" w:cs="Arial"/>
                <w:sz w:val="20"/>
                <w:szCs w:val="20"/>
              </w:rPr>
              <w:t xml:space="preserve"> pilot </w:t>
            </w:r>
          </w:p>
        </w:tc>
        <w:tc>
          <w:tcPr>
            <w:tcW w:w="1623" w:type="dxa"/>
          </w:tcPr>
          <w:p w:rsidR="00AE4B7A" w:rsidRPr="009A3CF5" w:rsidRDefault="00E87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="00233501"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897" w:type="dxa"/>
          </w:tcPr>
          <w:p w:rsidR="00AE4B7A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One dose in Autumn</w:t>
            </w:r>
          </w:p>
        </w:tc>
      </w:tr>
      <w:tr w:rsidR="009A3CF5" w:rsidRPr="009A3CF5" w:rsidTr="00E12F4F">
        <w:tc>
          <w:tcPr>
            <w:tcW w:w="2943" w:type="dxa"/>
            <w:shd w:val="clear" w:color="auto" w:fill="B8CCE4" w:themeFill="accent1" w:themeFillTint="66"/>
          </w:tcPr>
          <w:p w:rsidR="009A3CF5" w:rsidRPr="009A3CF5" w:rsidRDefault="009A3CF5" w:rsidP="00A56B76">
            <w:pPr>
              <w:rPr>
                <w:rFonts w:ascii="Arial" w:hAnsi="Arial" w:cs="Arial"/>
                <w:sz w:val="20"/>
                <w:szCs w:val="20"/>
              </w:rPr>
            </w:pPr>
            <w:r w:rsidRPr="00A56B76">
              <w:rPr>
                <w:rFonts w:ascii="Arial" w:hAnsi="Arial" w:cs="Arial"/>
                <w:b/>
                <w:sz w:val="20"/>
                <w:szCs w:val="20"/>
              </w:rPr>
              <w:t xml:space="preserve">Possible </w:t>
            </w:r>
            <w:r w:rsidR="00A56B76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9A3CF5">
              <w:rPr>
                <w:rFonts w:ascii="Arial" w:hAnsi="Arial" w:cs="Arial"/>
                <w:sz w:val="20"/>
                <w:szCs w:val="20"/>
              </w:rPr>
              <w:t>2015 onwards</w:t>
            </w:r>
          </w:p>
        </w:tc>
        <w:tc>
          <w:tcPr>
            <w:tcW w:w="1779" w:type="dxa"/>
            <w:shd w:val="clear" w:color="auto" w:fill="B8CCE4" w:themeFill="accent1" w:themeFillTint="66"/>
          </w:tcPr>
          <w:p w:rsidR="009A3CF5" w:rsidRPr="009A3CF5" w:rsidRDefault="009A3CF5" w:rsidP="000D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B8CCE4" w:themeFill="accent1" w:themeFillTint="66"/>
          </w:tcPr>
          <w:p w:rsidR="009A3CF5" w:rsidRPr="009A3CF5" w:rsidRDefault="009A3CF5" w:rsidP="000D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shd w:val="clear" w:color="auto" w:fill="B8CCE4" w:themeFill="accent1" w:themeFillTint="66"/>
          </w:tcPr>
          <w:p w:rsidR="009A3CF5" w:rsidRPr="009A3CF5" w:rsidRDefault="009A3CF5" w:rsidP="000D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CF5" w:rsidRPr="009A3CF5" w:rsidTr="00E12F4F">
        <w:tc>
          <w:tcPr>
            <w:tcW w:w="2943" w:type="dxa"/>
          </w:tcPr>
          <w:p w:rsidR="009A3CF5" w:rsidRDefault="00E62EEC" w:rsidP="00E62E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Primary schools </w:t>
            </w:r>
            <w:r w:rsidR="00A56B76">
              <w:rPr>
                <w:rFonts w:ascii="Arial" w:hAnsi="Arial" w:cs="Arial"/>
                <w:sz w:val="20"/>
                <w:szCs w:val="20"/>
              </w:rPr>
              <w:t>R</w:t>
            </w:r>
            <w:r w:rsidR="00C43FF9">
              <w:rPr>
                <w:rFonts w:ascii="Arial" w:hAnsi="Arial" w:cs="Arial"/>
                <w:sz w:val="20"/>
                <w:szCs w:val="20"/>
              </w:rPr>
              <w:t>eception – year 2</w:t>
            </w:r>
          </w:p>
          <w:p w:rsidR="00697E00" w:rsidRPr="009A3CF5" w:rsidRDefault="00697E00" w:rsidP="00697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="009A3CF5" w:rsidRPr="009A3CF5" w:rsidRDefault="009A3CF5" w:rsidP="000D4723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Seasonal influenza</w:t>
            </w:r>
          </w:p>
        </w:tc>
        <w:tc>
          <w:tcPr>
            <w:tcW w:w="1623" w:type="dxa"/>
          </w:tcPr>
          <w:p w:rsidR="009A3CF5" w:rsidRPr="009A3CF5" w:rsidRDefault="00E87731" w:rsidP="000D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="009A3CF5"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897" w:type="dxa"/>
          </w:tcPr>
          <w:p w:rsidR="009A3CF5" w:rsidRPr="009A3CF5" w:rsidRDefault="00211E8E" w:rsidP="000D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dose in </w:t>
            </w:r>
            <w:r w:rsidR="009A3CF5" w:rsidRPr="009A3CF5">
              <w:rPr>
                <w:rFonts w:ascii="Arial" w:hAnsi="Arial" w:cs="Arial"/>
                <w:sz w:val="20"/>
                <w:szCs w:val="20"/>
              </w:rPr>
              <w:t>Autumn</w:t>
            </w:r>
          </w:p>
        </w:tc>
      </w:tr>
      <w:tr w:rsidR="00697E00" w:rsidRPr="009A3CF5" w:rsidTr="00E12F4F">
        <w:tc>
          <w:tcPr>
            <w:tcW w:w="2943" w:type="dxa"/>
          </w:tcPr>
          <w:p w:rsidR="00697E00" w:rsidRPr="009A3CF5" w:rsidRDefault="00697E00" w:rsidP="00697E00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9 &amp; 10 </w:t>
            </w:r>
            <w:r w:rsidR="00A56B76">
              <w:rPr>
                <w:rFonts w:ascii="Arial" w:hAnsi="Arial" w:cs="Arial"/>
                <w:sz w:val="20"/>
                <w:szCs w:val="20"/>
              </w:rPr>
              <w:t xml:space="preserve">double year </w:t>
            </w:r>
            <w:r w:rsidRPr="009A3CF5">
              <w:rPr>
                <w:rFonts w:ascii="Arial" w:hAnsi="Arial" w:cs="Arial"/>
                <w:sz w:val="20"/>
                <w:szCs w:val="20"/>
              </w:rPr>
              <w:t xml:space="preserve">catch-up </w:t>
            </w:r>
            <w:r w:rsidR="00211E8E">
              <w:rPr>
                <w:rFonts w:ascii="Arial" w:hAnsi="Arial" w:cs="Arial"/>
                <w:sz w:val="20"/>
                <w:szCs w:val="20"/>
              </w:rPr>
              <w:t>to move schedule to year 9</w:t>
            </w:r>
          </w:p>
          <w:p w:rsidR="00697E00" w:rsidDel="00E62EEC" w:rsidRDefault="00211E8E" w:rsidP="0069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C78E4" w:rsidRPr="009C78E4">
              <w:rPr>
                <w:rFonts w:ascii="Arial" w:hAnsi="Arial" w:cs="Arial"/>
                <w:b/>
                <w:sz w:val="20"/>
                <w:szCs w:val="20"/>
              </w:rPr>
              <w:t>possibly</w:t>
            </w:r>
            <w:r w:rsidR="009C78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E00">
              <w:rPr>
                <w:rFonts w:ascii="Arial" w:hAnsi="Arial" w:cs="Arial"/>
                <w:sz w:val="20"/>
                <w:szCs w:val="20"/>
              </w:rPr>
              <w:t>Year 9 only from autumn 2016-17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</w:tcPr>
          <w:p w:rsidR="00697E00" w:rsidRPr="009A3CF5" w:rsidRDefault="00697E00" w:rsidP="000D4723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Meningitis C</w:t>
            </w:r>
          </w:p>
        </w:tc>
        <w:tc>
          <w:tcPr>
            <w:tcW w:w="1623" w:type="dxa"/>
          </w:tcPr>
          <w:p w:rsidR="00697E00" w:rsidRDefault="00697E00" w:rsidP="000D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897" w:type="dxa"/>
          </w:tcPr>
          <w:p w:rsidR="00697E00" w:rsidRPr="009A3CF5" w:rsidRDefault="00697E00" w:rsidP="000D4723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One dose usually Spring </w:t>
            </w:r>
          </w:p>
        </w:tc>
      </w:tr>
    </w:tbl>
    <w:p w:rsidR="00A56B76" w:rsidRDefault="00CB0C64">
      <w:pPr>
        <w:rPr>
          <w:rFonts w:ascii="Arial" w:hAnsi="Arial" w:cs="Arial"/>
        </w:rPr>
      </w:pPr>
      <w:r w:rsidRPr="00E87731">
        <w:rPr>
          <w:rFonts w:ascii="Arial" w:hAnsi="Arial" w:cs="Arial"/>
          <w:sz w:val="20"/>
          <w:szCs w:val="20"/>
        </w:rPr>
        <w:t xml:space="preserve"> </w:t>
      </w:r>
      <w:r w:rsidR="001B4AE9" w:rsidRPr="00E87731">
        <w:rPr>
          <w:rFonts w:ascii="Arial" w:hAnsi="Arial" w:cs="Arial"/>
          <w:sz w:val="20"/>
          <w:szCs w:val="20"/>
        </w:rPr>
        <w:t xml:space="preserve">[Year </w:t>
      </w:r>
      <w:r w:rsidR="009C78E4">
        <w:rPr>
          <w:rFonts w:ascii="Arial" w:hAnsi="Arial" w:cs="Arial"/>
          <w:sz w:val="20"/>
          <w:szCs w:val="20"/>
        </w:rPr>
        <w:t>9/</w:t>
      </w:r>
      <w:r w:rsidR="001B4AE9" w:rsidRPr="00E87731">
        <w:rPr>
          <w:rFonts w:ascii="Arial" w:hAnsi="Arial" w:cs="Arial"/>
          <w:sz w:val="20"/>
          <w:szCs w:val="20"/>
        </w:rPr>
        <w:t xml:space="preserve">10 </w:t>
      </w:r>
      <w:r w:rsidR="00E87731">
        <w:rPr>
          <w:rFonts w:ascii="Arial" w:hAnsi="Arial" w:cs="Arial"/>
          <w:sz w:val="20"/>
          <w:szCs w:val="20"/>
        </w:rPr>
        <w:t>tetanus, p</w:t>
      </w:r>
      <w:r w:rsidR="001B4AE9" w:rsidRPr="00E87731">
        <w:rPr>
          <w:rFonts w:ascii="Arial" w:hAnsi="Arial" w:cs="Arial"/>
          <w:sz w:val="20"/>
          <w:szCs w:val="20"/>
        </w:rPr>
        <w:t>olio and diphtheria delivered within GP practices for Norfolk]</w:t>
      </w:r>
    </w:p>
    <w:p w:rsidR="004B1BB7" w:rsidRPr="009A3CF5" w:rsidRDefault="00872A26">
      <w:pPr>
        <w:rPr>
          <w:rFonts w:ascii="Arial" w:hAnsi="Arial" w:cs="Arial"/>
        </w:rPr>
      </w:pPr>
      <w:r w:rsidRPr="00872A26">
        <w:rPr>
          <w:rFonts w:ascii="Arial" w:hAnsi="Arial" w:cs="Arial"/>
          <w:b/>
        </w:rPr>
        <w:t>2.2</w:t>
      </w:r>
      <w:r>
        <w:rPr>
          <w:rFonts w:ascii="Arial" w:hAnsi="Arial" w:cs="Arial"/>
        </w:rPr>
        <w:t xml:space="preserve"> </w:t>
      </w:r>
      <w:r w:rsidR="00AE4B7A" w:rsidRPr="009A3CF5">
        <w:rPr>
          <w:rFonts w:ascii="Arial" w:hAnsi="Arial" w:cs="Arial"/>
        </w:rPr>
        <w:t xml:space="preserve">The area of </w:t>
      </w:r>
      <w:r w:rsidR="00AE4B7A" w:rsidRPr="009A3CF5">
        <w:rPr>
          <w:rFonts w:ascii="Arial" w:hAnsi="Arial" w:cs="Arial"/>
          <w:b/>
        </w:rPr>
        <w:t>G</w:t>
      </w:r>
      <w:r w:rsidR="00233501" w:rsidRPr="009A3CF5">
        <w:rPr>
          <w:rFonts w:ascii="Arial" w:hAnsi="Arial" w:cs="Arial"/>
          <w:b/>
        </w:rPr>
        <w:t xml:space="preserve">reat </w:t>
      </w:r>
      <w:r w:rsidR="00AE4B7A" w:rsidRPr="009A3CF5">
        <w:rPr>
          <w:rFonts w:ascii="Arial" w:hAnsi="Arial" w:cs="Arial"/>
          <w:b/>
        </w:rPr>
        <w:t>Y</w:t>
      </w:r>
      <w:r w:rsidR="00233501" w:rsidRPr="009A3CF5">
        <w:rPr>
          <w:rFonts w:ascii="Arial" w:hAnsi="Arial" w:cs="Arial"/>
          <w:b/>
        </w:rPr>
        <w:t>armouth</w:t>
      </w:r>
      <w:r w:rsidR="00AE4B7A" w:rsidRPr="009A3CF5">
        <w:rPr>
          <w:rFonts w:ascii="Arial" w:hAnsi="Arial" w:cs="Arial"/>
        </w:rPr>
        <w:t xml:space="preserve"> is vaccinated by the </w:t>
      </w:r>
      <w:r w:rsidR="00D655E4" w:rsidRPr="009A3CF5">
        <w:rPr>
          <w:rFonts w:ascii="Arial" w:hAnsi="Arial" w:cs="Arial"/>
          <w:u w:val="single"/>
        </w:rPr>
        <w:t>County Council’s</w:t>
      </w:r>
      <w:r w:rsidR="00233501" w:rsidRPr="009A3CF5">
        <w:rPr>
          <w:rFonts w:ascii="Arial" w:hAnsi="Arial" w:cs="Arial"/>
          <w:u w:val="single"/>
        </w:rPr>
        <w:t xml:space="preserve"> </w:t>
      </w:r>
      <w:r w:rsidR="00D655E4" w:rsidRPr="009A3CF5">
        <w:rPr>
          <w:rFonts w:ascii="Arial" w:hAnsi="Arial" w:cs="Arial"/>
          <w:u w:val="single"/>
        </w:rPr>
        <w:t>school immunisation team</w:t>
      </w:r>
      <w:r w:rsidR="00D655E4" w:rsidRPr="009A3CF5">
        <w:rPr>
          <w:rFonts w:ascii="Arial" w:hAnsi="Arial" w:cs="Arial"/>
        </w:rPr>
        <w:t xml:space="preserve"> which currently</w:t>
      </w:r>
      <w:r w:rsidR="00AE4B7A" w:rsidRPr="009A3CF5">
        <w:rPr>
          <w:rFonts w:ascii="Arial" w:hAnsi="Arial" w:cs="Arial"/>
        </w:rPr>
        <w:t xml:space="preserve"> deliver</w:t>
      </w:r>
      <w:r w:rsidR="00D655E4" w:rsidRPr="009A3CF5">
        <w:rPr>
          <w:rFonts w:ascii="Arial" w:hAnsi="Arial" w:cs="Arial"/>
        </w:rPr>
        <w:t>s</w:t>
      </w:r>
      <w:r w:rsidR="00AE4B7A" w:rsidRPr="009A3CF5">
        <w:rPr>
          <w:rFonts w:ascii="Arial" w:hAnsi="Arial" w:cs="Arial"/>
        </w:rPr>
        <w:t xml:space="preserve"> the following</w:t>
      </w:r>
      <w:r w:rsidR="009114A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818"/>
        <w:gridCol w:w="24"/>
        <w:gridCol w:w="1843"/>
        <w:gridCol w:w="2755"/>
      </w:tblGrid>
      <w:tr w:rsidR="00AE4B7A" w:rsidRPr="009A3CF5" w:rsidTr="00E12F4F">
        <w:tc>
          <w:tcPr>
            <w:tcW w:w="2802" w:type="dxa"/>
            <w:shd w:val="clear" w:color="auto" w:fill="B8CCE4" w:themeFill="accent1" w:themeFillTint="66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Year for delivery</w:t>
            </w:r>
          </w:p>
        </w:tc>
        <w:tc>
          <w:tcPr>
            <w:tcW w:w="1818" w:type="dxa"/>
            <w:shd w:val="clear" w:color="auto" w:fill="B8CCE4" w:themeFill="accent1" w:themeFillTint="66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vaccine</w:t>
            </w:r>
          </w:p>
        </w:tc>
        <w:tc>
          <w:tcPr>
            <w:tcW w:w="1867" w:type="dxa"/>
            <w:gridSpan w:val="2"/>
            <w:shd w:val="clear" w:color="auto" w:fill="B8CCE4" w:themeFill="accent1" w:themeFillTint="66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To whom</w:t>
            </w:r>
          </w:p>
        </w:tc>
        <w:tc>
          <w:tcPr>
            <w:tcW w:w="2755" w:type="dxa"/>
            <w:shd w:val="clear" w:color="auto" w:fill="B8CCE4" w:themeFill="accent1" w:themeFillTint="66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Which term</w:t>
            </w:r>
          </w:p>
        </w:tc>
      </w:tr>
      <w:tr w:rsidR="00AE4B7A" w:rsidRPr="009A3CF5" w:rsidTr="00E12F4F">
        <w:tc>
          <w:tcPr>
            <w:tcW w:w="2802" w:type="dxa"/>
          </w:tcPr>
          <w:p w:rsidR="00AE4B7A" w:rsidRPr="009A3CF5" w:rsidRDefault="0041386A" w:rsidP="00697E00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818" w:type="dxa"/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Meningitis C</w:t>
            </w:r>
          </w:p>
        </w:tc>
        <w:tc>
          <w:tcPr>
            <w:tcW w:w="1867" w:type="dxa"/>
            <w:gridSpan w:val="2"/>
          </w:tcPr>
          <w:p w:rsidR="00AE4B7A" w:rsidRPr="009A3CF5" w:rsidRDefault="00E87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="00AE4B7A"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755" w:type="dxa"/>
          </w:tcPr>
          <w:p w:rsidR="00AE4B7A" w:rsidRPr="009A3CF5" w:rsidRDefault="00233501" w:rsidP="00F5007E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One dose</w:t>
            </w:r>
            <w:r w:rsidR="00F5007E">
              <w:rPr>
                <w:rFonts w:ascii="Arial" w:hAnsi="Arial" w:cs="Arial"/>
                <w:sz w:val="20"/>
                <w:szCs w:val="20"/>
              </w:rPr>
              <w:t xml:space="preserve"> Autumn/</w:t>
            </w:r>
            <w:r w:rsidR="00AE4B7A" w:rsidRPr="009A3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07E">
              <w:rPr>
                <w:rFonts w:ascii="Arial" w:hAnsi="Arial" w:cs="Arial"/>
                <w:sz w:val="20"/>
                <w:szCs w:val="20"/>
              </w:rPr>
              <w:t>S</w:t>
            </w:r>
            <w:r w:rsidR="00AE4B7A" w:rsidRPr="009A3CF5">
              <w:rPr>
                <w:rFonts w:ascii="Arial" w:hAnsi="Arial" w:cs="Arial"/>
                <w:sz w:val="20"/>
                <w:szCs w:val="20"/>
              </w:rPr>
              <w:t>pring</w:t>
            </w:r>
          </w:p>
        </w:tc>
      </w:tr>
      <w:tr w:rsidR="00AE4B7A" w:rsidRPr="009A3CF5" w:rsidTr="00E12F4F">
        <w:tc>
          <w:tcPr>
            <w:tcW w:w="2802" w:type="dxa"/>
            <w:tcBorders>
              <w:bottom w:val="single" w:sz="4" w:space="0" w:color="auto"/>
            </w:tcBorders>
          </w:tcPr>
          <w:p w:rsidR="00AE4B7A" w:rsidRPr="009A3CF5" w:rsidRDefault="00AE4B7A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AE4B7A" w:rsidRPr="009A3CF5" w:rsidRDefault="00AE4B7A" w:rsidP="00DD5E5B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Leavers’ booster </w:t>
            </w:r>
            <w:r w:rsidR="00DD5E5B">
              <w:rPr>
                <w:rFonts w:ascii="Arial" w:hAnsi="Arial" w:cs="Arial"/>
                <w:sz w:val="20"/>
                <w:szCs w:val="20"/>
              </w:rPr>
              <w:t>tetanus/diphtheria/polio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AE4B7A" w:rsidRPr="009A3CF5" w:rsidRDefault="00E87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="00AE4B7A"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AE4B7A" w:rsidRPr="009A3CF5" w:rsidRDefault="00233501" w:rsidP="00F5007E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One dose</w:t>
            </w:r>
            <w:r w:rsidR="00D655E4" w:rsidRPr="009A3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07E">
              <w:rPr>
                <w:rFonts w:ascii="Arial" w:hAnsi="Arial" w:cs="Arial"/>
                <w:sz w:val="20"/>
                <w:szCs w:val="20"/>
              </w:rPr>
              <w:t>Autumn/</w:t>
            </w:r>
            <w:r w:rsidR="00F5007E" w:rsidRPr="009A3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5E4" w:rsidRPr="009A3CF5">
              <w:rPr>
                <w:rFonts w:ascii="Arial" w:hAnsi="Arial" w:cs="Arial"/>
                <w:sz w:val="20"/>
                <w:szCs w:val="20"/>
              </w:rPr>
              <w:t>S</w:t>
            </w:r>
            <w:r w:rsidR="0041386A" w:rsidRPr="009A3CF5">
              <w:rPr>
                <w:rFonts w:ascii="Arial" w:hAnsi="Arial" w:cs="Arial"/>
                <w:sz w:val="20"/>
                <w:szCs w:val="20"/>
              </w:rPr>
              <w:t xml:space="preserve">pring </w:t>
            </w:r>
          </w:p>
        </w:tc>
      </w:tr>
      <w:tr w:rsidR="00A56B76" w:rsidRPr="009A3CF5" w:rsidTr="00BB2626">
        <w:tc>
          <w:tcPr>
            <w:tcW w:w="9242" w:type="dxa"/>
            <w:gridSpan w:val="5"/>
            <w:shd w:val="clear" w:color="auto" w:fill="B8CCE4" w:themeFill="accent1" w:themeFillTint="66"/>
          </w:tcPr>
          <w:p w:rsidR="00A56B76" w:rsidRPr="009A3CF5" w:rsidRDefault="00A56B76">
            <w:pPr>
              <w:rPr>
                <w:rFonts w:ascii="Arial" w:hAnsi="Arial" w:cs="Arial"/>
                <w:sz w:val="20"/>
                <w:szCs w:val="20"/>
              </w:rPr>
            </w:pPr>
            <w:r w:rsidRPr="00A56B76">
              <w:rPr>
                <w:rFonts w:ascii="Arial" w:hAnsi="Arial" w:cs="Arial"/>
                <w:b/>
                <w:sz w:val="20"/>
                <w:szCs w:val="20"/>
              </w:rPr>
              <w:t>Highly likely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A3CF5">
              <w:rPr>
                <w:rFonts w:ascii="Arial" w:hAnsi="Arial" w:cs="Arial"/>
                <w:sz w:val="20"/>
                <w:szCs w:val="20"/>
              </w:rPr>
              <w:t>o be introduced Sept 2014-15</w:t>
            </w:r>
            <w:r>
              <w:rPr>
                <w:rFonts w:ascii="Arial" w:hAnsi="Arial" w:cs="Arial"/>
                <w:sz w:val="20"/>
                <w:szCs w:val="20"/>
              </w:rPr>
              <w:t xml:space="preserve"> - awaiting final commissioning agreement</w:t>
            </w:r>
          </w:p>
        </w:tc>
      </w:tr>
      <w:tr w:rsidR="00233501" w:rsidRPr="009A3CF5" w:rsidTr="00E12F4F">
        <w:tc>
          <w:tcPr>
            <w:tcW w:w="2802" w:type="dxa"/>
          </w:tcPr>
          <w:p w:rsidR="00233501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7 &amp; 8 </w:t>
            </w:r>
          </w:p>
        </w:tc>
        <w:tc>
          <w:tcPr>
            <w:tcW w:w="1818" w:type="dxa"/>
          </w:tcPr>
          <w:p w:rsidR="00233501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Seasonal influenza</w:t>
            </w:r>
            <w:r w:rsidR="009C78E4">
              <w:rPr>
                <w:rFonts w:ascii="Arial" w:hAnsi="Arial" w:cs="Arial"/>
                <w:sz w:val="20"/>
                <w:szCs w:val="20"/>
              </w:rPr>
              <w:t xml:space="preserve"> -pilot</w:t>
            </w:r>
          </w:p>
        </w:tc>
        <w:tc>
          <w:tcPr>
            <w:tcW w:w="1867" w:type="dxa"/>
            <w:gridSpan w:val="2"/>
          </w:tcPr>
          <w:p w:rsidR="00233501" w:rsidRPr="009A3CF5" w:rsidRDefault="00E87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="00233501"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755" w:type="dxa"/>
          </w:tcPr>
          <w:p w:rsidR="00233501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Autumn</w:t>
            </w:r>
          </w:p>
        </w:tc>
      </w:tr>
      <w:tr w:rsidR="00CB0C64" w:rsidRPr="009A3CF5" w:rsidTr="00E12F4F">
        <w:tc>
          <w:tcPr>
            <w:tcW w:w="280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B0C64" w:rsidRPr="009A3CF5" w:rsidRDefault="00CB0C64" w:rsidP="00A56B76">
            <w:pPr>
              <w:rPr>
                <w:rFonts w:ascii="Arial" w:hAnsi="Arial" w:cs="Arial"/>
                <w:sz w:val="20"/>
                <w:szCs w:val="20"/>
              </w:rPr>
            </w:pPr>
            <w:r w:rsidRPr="00A56B76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9A3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B76">
              <w:rPr>
                <w:rFonts w:ascii="Arial" w:hAnsi="Arial" w:cs="Arial"/>
                <w:sz w:val="20"/>
                <w:szCs w:val="20"/>
              </w:rPr>
              <w:t>from</w:t>
            </w:r>
            <w:r w:rsidR="00A56B76" w:rsidRPr="009A3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CF5">
              <w:rPr>
                <w:rFonts w:ascii="Arial" w:hAnsi="Arial" w:cs="Arial"/>
                <w:sz w:val="20"/>
                <w:szCs w:val="20"/>
              </w:rPr>
              <w:t xml:space="preserve">2015 </w:t>
            </w:r>
            <w:r w:rsidRPr="009A3CF5">
              <w:rPr>
                <w:rFonts w:ascii="Arial" w:hAnsi="Arial" w:cs="Arial"/>
                <w:sz w:val="20"/>
                <w:szCs w:val="20"/>
              </w:rPr>
              <w:lastRenderedPageBreak/>
              <w:t>onwards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B0C64" w:rsidRPr="009A3CF5" w:rsidRDefault="00CB0C64" w:rsidP="003B50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B0C64" w:rsidRPr="009A3CF5" w:rsidRDefault="00CB0C64" w:rsidP="003B50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B0C64" w:rsidRPr="009A3CF5" w:rsidRDefault="00CB0C64" w:rsidP="00D65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C64" w:rsidRPr="009A3CF5" w:rsidTr="00E12F4F">
        <w:tc>
          <w:tcPr>
            <w:tcW w:w="2802" w:type="dxa"/>
            <w:shd w:val="clear" w:color="auto" w:fill="FFFFFF" w:themeFill="background1"/>
          </w:tcPr>
          <w:p w:rsidR="00CB0C64" w:rsidRDefault="00E62EEC" w:rsidP="004A5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Primary schools </w:t>
            </w:r>
            <w:r w:rsidR="00A56B76">
              <w:rPr>
                <w:rFonts w:ascii="Arial" w:hAnsi="Arial" w:cs="Arial"/>
                <w:sz w:val="20"/>
                <w:szCs w:val="20"/>
              </w:rPr>
              <w:t>R</w:t>
            </w:r>
            <w:r w:rsidR="00C43FF9">
              <w:rPr>
                <w:rFonts w:ascii="Arial" w:hAnsi="Arial" w:cs="Arial"/>
                <w:sz w:val="20"/>
                <w:szCs w:val="20"/>
              </w:rPr>
              <w:t>eception – year 2</w:t>
            </w:r>
          </w:p>
          <w:p w:rsidR="00697E00" w:rsidRPr="009A3CF5" w:rsidRDefault="00697E00" w:rsidP="004A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CB0C64" w:rsidRPr="009A3CF5" w:rsidRDefault="00CB0C64" w:rsidP="003B5064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Seasonal influenza</w:t>
            </w:r>
          </w:p>
        </w:tc>
        <w:tc>
          <w:tcPr>
            <w:tcW w:w="1867" w:type="dxa"/>
            <w:gridSpan w:val="2"/>
            <w:shd w:val="clear" w:color="auto" w:fill="FFFFFF" w:themeFill="background1"/>
          </w:tcPr>
          <w:p w:rsidR="00CB0C64" w:rsidRPr="009A3CF5" w:rsidRDefault="00E87731" w:rsidP="003B5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="00CB0C64"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755" w:type="dxa"/>
            <w:shd w:val="clear" w:color="auto" w:fill="FFFFFF" w:themeFill="background1"/>
          </w:tcPr>
          <w:p w:rsidR="00CB0C64" w:rsidRPr="009A3CF5" w:rsidRDefault="00CB0C64" w:rsidP="00D655E4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Autumn</w:t>
            </w:r>
          </w:p>
        </w:tc>
      </w:tr>
      <w:tr w:rsidR="00697E00" w:rsidRPr="009A3CF5" w:rsidTr="00A56B76">
        <w:trPr>
          <w:trHeight w:val="548"/>
        </w:trPr>
        <w:tc>
          <w:tcPr>
            <w:tcW w:w="2802" w:type="dxa"/>
          </w:tcPr>
          <w:p w:rsidR="00211E8E" w:rsidRPr="009A3CF5" w:rsidRDefault="00211E8E" w:rsidP="00211E8E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9 &amp; 10 </w:t>
            </w:r>
            <w:r w:rsidR="00A56B76">
              <w:rPr>
                <w:rFonts w:ascii="Arial" w:hAnsi="Arial" w:cs="Arial"/>
                <w:sz w:val="20"/>
                <w:szCs w:val="20"/>
              </w:rPr>
              <w:t xml:space="preserve">double year </w:t>
            </w:r>
            <w:r w:rsidRPr="009A3CF5">
              <w:rPr>
                <w:rFonts w:ascii="Arial" w:hAnsi="Arial" w:cs="Arial"/>
                <w:sz w:val="20"/>
                <w:szCs w:val="20"/>
              </w:rPr>
              <w:t xml:space="preserve">catch-up </w:t>
            </w:r>
            <w:r>
              <w:rPr>
                <w:rFonts w:ascii="Arial" w:hAnsi="Arial" w:cs="Arial"/>
                <w:sz w:val="20"/>
                <w:szCs w:val="20"/>
              </w:rPr>
              <w:t>to move schedule to year 9</w:t>
            </w:r>
          </w:p>
          <w:p w:rsidR="00697E00" w:rsidDel="00E62EEC" w:rsidRDefault="00A56B76" w:rsidP="00BB5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C78E4">
              <w:rPr>
                <w:rFonts w:ascii="Arial" w:hAnsi="Arial" w:cs="Arial"/>
                <w:b/>
                <w:sz w:val="20"/>
                <w:szCs w:val="20"/>
              </w:rPr>
              <w:t xml:space="preserve">possibly </w:t>
            </w:r>
            <w:r w:rsidR="00697E00">
              <w:rPr>
                <w:rFonts w:ascii="Arial" w:hAnsi="Arial" w:cs="Arial"/>
                <w:sz w:val="20"/>
                <w:szCs w:val="20"/>
              </w:rPr>
              <w:t xml:space="preserve">Year 9 only from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97E00">
              <w:rPr>
                <w:rFonts w:ascii="Arial" w:hAnsi="Arial" w:cs="Arial"/>
                <w:sz w:val="20"/>
                <w:szCs w:val="20"/>
              </w:rPr>
              <w:t>utumn 2016-17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</w:tcPr>
          <w:p w:rsidR="00697E00" w:rsidRPr="009A3CF5" w:rsidRDefault="00697E00" w:rsidP="00BB5D53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Meningitis C</w:t>
            </w:r>
          </w:p>
        </w:tc>
        <w:tc>
          <w:tcPr>
            <w:tcW w:w="1843" w:type="dxa"/>
          </w:tcPr>
          <w:p w:rsidR="00697E00" w:rsidRDefault="00697E00" w:rsidP="00BB5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and B</w:t>
            </w:r>
            <w:r w:rsidRPr="009A3CF5">
              <w:rPr>
                <w:rFonts w:ascii="Arial" w:hAnsi="Arial" w:cs="Arial"/>
                <w:sz w:val="20"/>
                <w:szCs w:val="20"/>
              </w:rPr>
              <w:t>oys</w:t>
            </w:r>
          </w:p>
        </w:tc>
        <w:tc>
          <w:tcPr>
            <w:tcW w:w="2755" w:type="dxa"/>
          </w:tcPr>
          <w:p w:rsidR="00697E00" w:rsidRPr="009A3CF5" w:rsidRDefault="00697E00" w:rsidP="00514B30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 xml:space="preserve">One dose </w:t>
            </w:r>
            <w:r w:rsidR="00514B30">
              <w:rPr>
                <w:rFonts w:ascii="Arial" w:hAnsi="Arial" w:cs="Arial"/>
                <w:sz w:val="20"/>
                <w:szCs w:val="20"/>
              </w:rPr>
              <w:t>Autumn/</w:t>
            </w:r>
            <w:r w:rsidRPr="009A3CF5">
              <w:rPr>
                <w:rFonts w:ascii="Arial" w:hAnsi="Arial" w:cs="Arial"/>
                <w:sz w:val="20"/>
                <w:szCs w:val="20"/>
              </w:rPr>
              <w:t xml:space="preserve">Spring </w:t>
            </w:r>
          </w:p>
        </w:tc>
      </w:tr>
    </w:tbl>
    <w:p w:rsidR="00564738" w:rsidRDefault="00564738">
      <w:pPr>
        <w:rPr>
          <w:rFonts w:ascii="Arial" w:hAnsi="Arial" w:cs="Arial"/>
          <w:b/>
        </w:rPr>
      </w:pPr>
    </w:p>
    <w:p w:rsidR="00233501" w:rsidRPr="009A3CF5" w:rsidRDefault="00872A26">
      <w:pPr>
        <w:rPr>
          <w:rFonts w:ascii="Arial" w:hAnsi="Arial" w:cs="Arial"/>
        </w:rPr>
      </w:pPr>
      <w:r w:rsidRPr="00872A26">
        <w:rPr>
          <w:rFonts w:ascii="Arial" w:hAnsi="Arial" w:cs="Arial"/>
          <w:b/>
        </w:rPr>
        <w:t>2.3</w:t>
      </w:r>
      <w:r>
        <w:rPr>
          <w:rFonts w:ascii="Arial" w:hAnsi="Arial" w:cs="Arial"/>
        </w:rPr>
        <w:t xml:space="preserve"> </w:t>
      </w:r>
      <w:r w:rsidR="00233501" w:rsidRPr="009A3CF5">
        <w:rPr>
          <w:rFonts w:ascii="Arial" w:hAnsi="Arial" w:cs="Arial"/>
        </w:rPr>
        <w:t xml:space="preserve">Finally, the </w:t>
      </w:r>
      <w:r w:rsidR="00233501" w:rsidRPr="009A3CF5">
        <w:rPr>
          <w:rFonts w:ascii="Arial" w:hAnsi="Arial" w:cs="Arial"/>
          <w:b/>
        </w:rPr>
        <w:t>Great Yarmouth</w:t>
      </w:r>
      <w:r w:rsidR="00233501" w:rsidRPr="009A3CF5">
        <w:rPr>
          <w:rFonts w:ascii="Arial" w:hAnsi="Arial" w:cs="Arial"/>
        </w:rPr>
        <w:t xml:space="preserve"> girls receive the following from the immunisation team of Lowestoft and Waveney –</w:t>
      </w:r>
      <w:r w:rsidR="00233501" w:rsidRPr="009A3CF5">
        <w:rPr>
          <w:rFonts w:ascii="Arial" w:hAnsi="Arial" w:cs="Arial"/>
          <w:u w:val="single"/>
        </w:rPr>
        <w:t>East Coast Community Health</w:t>
      </w:r>
      <w:r w:rsidR="00F77631">
        <w:rPr>
          <w:rFonts w:ascii="Arial" w:hAnsi="Arial" w:cs="Arial"/>
          <w:u w:val="single"/>
        </w:rPr>
        <w:t xml:space="preserve"> </w:t>
      </w:r>
      <w:r w:rsidR="00233501" w:rsidRPr="009A3CF5">
        <w:rPr>
          <w:rFonts w:ascii="Arial" w:hAnsi="Arial" w:cs="Arial"/>
          <w:u w:val="single"/>
        </w:rPr>
        <w:t>Care</w:t>
      </w:r>
      <w:r w:rsidR="00233501" w:rsidRPr="009A3CF5">
        <w:rPr>
          <w:rFonts w:ascii="Arial" w:hAnsi="Arial" w:cs="Arial"/>
        </w:rPr>
        <w:t>;-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017"/>
        <w:gridCol w:w="3605"/>
      </w:tblGrid>
      <w:tr w:rsidR="00233501" w:rsidRPr="009A3CF5" w:rsidTr="00E12F4F">
        <w:tc>
          <w:tcPr>
            <w:tcW w:w="2310" w:type="dxa"/>
            <w:shd w:val="clear" w:color="auto" w:fill="B8CCE4" w:themeFill="accent1" w:themeFillTint="66"/>
          </w:tcPr>
          <w:p w:rsidR="00233501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Year for delivery</w:t>
            </w:r>
          </w:p>
        </w:tc>
        <w:tc>
          <w:tcPr>
            <w:tcW w:w="2310" w:type="dxa"/>
            <w:shd w:val="clear" w:color="auto" w:fill="B8CCE4" w:themeFill="accent1" w:themeFillTint="66"/>
          </w:tcPr>
          <w:p w:rsidR="00233501" w:rsidRPr="009A3CF5" w:rsidRDefault="00483777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V</w:t>
            </w:r>
            <w:r w:rsidR="00233501" w:rsidRPr="009A3CF5">
              <w:rPr>
                <w:rFonts w:ascii="Arial" w:hAnsi="Arial" w:cs="Arial"/>
                <w:sz w:val="20"/>
                <w:szCs w:val="20"/>
              </w:rPr>
              <w:t>accine</w:t>
            </w:r>
          </w:p>
        </w:tc>
        <w:tc>
          <w:tcPr>
            <w:tcW w:w="1017" w:type="dxa"/>
            <w:shd w:val="clear" w:color="auto" w:fill="B8CCE4" w:themeFill="accent1" w:themeFillTint="66"/>
          </w:tcPr>
          <w:p w:rsidR="00233501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To whom</w:t>
            </w:r>
          </w:p>
        </w:tc>
        <w:tc>
          <w:tcPr>
            <w:tcW w:w="3605" w:type="dxa"/>
            <w:shd w:val="clear" w:color="auto" w:fill="B8CCE4" w:themeFill="accent1" w:themeFillTint="66"/>
          </w:tcPr>
          <w:p w:rsidR="00233501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Which term</w:t>
            </w:r>
          </w:p>
        </w:tc>
      </w:tr>
      <w:tr w:rsidR="00233501" w:rsidRPr="009A3CF5" w:rsidTr="00E12F4F">
        <w:tc>
          <w:tcPr>
            <w:tcW w:w="2310" w:type="dxa"/>
          </w:tcPr>
          <w:p w:rsidR="00233501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10" w:type="dxa"/>
          </w:tcPr>
          <w:p w:rsidR="00233501" w:rsidRPr="009A3CF5" w:rsidRDefault="00233501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HPV</w:t>
            </w:r>
          </w:p>
        </w:tc>
        <w:tc>
          <w:tcPr>
            <w:tcW w:w="1017" w:type="dxa"/>
          </w:tcPr>
          <w:p w:rsidR="00233501" w:rsidRPr="009A3CF5" w:rsidRDefault="00D655E4">
            <w:pPr>
              <w:rPr>
                <w:rFonts w:ascii="Arial" w:hAnsi="Arial" w:cs="Arial"/>
                <w:sz w:val="20"/>
                <w:szCs w:val="20"/>
              </w:rPr>
            </w:pPr>
            <w:r w:rsidRPr="009A3CF5">
              <w:rPr>
                <w:rFonts w:ascii="Arial" w:hAnsi="Arial" w:cs="Arial"/>
                <w:sz w:val="20"/>
                <w:szCs w:val="20"/>
              </w:rPr>
              <w:t>G</w:t>
            </w:r>
            <w:r w:rsidR="00233501" w:rsidRPr="009A3CF5">
              <w:rPr>
                <w:rFonts w:ascii="Arial" w:hAnsi="Arial" w:cs="Arial"/>
                <w:sz w:val="20"/>
                <w:szCs w:val="20"/>
              </w:rPr>
              <w:t>irls</w:t>
            </w:r>
          </w:p>
        </w:tc>
        <w:tc>
          <w:tcPr>
            <w:tcW w:w="3605" w:type="dxa"/>
          </w:tcPr>
          <w:p w:rsidR="00233501" w:rsidRPr="009A3CF5" w:rsidRDefault="009C78E4">
            <w:pPr>
              <w:rPr>
                <w:rFonts w:ascii="Arial" w:hAnsi="Arial" w:cs="Arial"/>
                <w:sz w:val="20"/>
                <w:szCs w:val="20"/>
              </w:rPr>
            </w:pPr>
            <w:r w:rsidRPr="009A3CF5" w:rsidDel="009C78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655" w:rsidRPr="009A3CF5">
              <w:rPr>
                <w:rFonts w:ascii="Arial" w:hAnsi="Arial" w:cs="Arial"/>
                <w:sz w:val="20"/>
                <w:szCs w:val="20"/>
              </w:rPr>
              <w:t xml:space="preserve">2 doses </w:t>
            </w:r>
            <w:r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170655" w:rsidRPr="009A3CF5">
              <w:rPr>
                <w:rFonts w:ascii="Arial" w:hAnsi="Arial" w:cs="Arial"/>
                <w:sz w:val="20"/>
                <w:szCs w:val="20"/>
              </w:rPr>
              <w:t>12 months’ apart from</w:t>
            </w:r>
            <w:r>
              <w:rPr>
                <w:rFonts w:ascii="Arial" w:hAnsi="Arial" w:cs="Arial"/>
                <w:sz w:val="20"/>
                <w:szCs w:val="20"/>
              </w:rPr>
              <w:t xml:space="preserve"> Autumn</w:t>
            </w:r>
            <w:r w:rsidR="00170655" w:rsidRPr="009A3CF5">
              <w:rPr>
                <w:rFonts w:ascii="Arial" w:hAnsi="Arial" w:cs="Arial"/>
                <w:sz w:val="20"/>
                <w:szCs w:val="20"/>
              </w:rPr>
              <w:t xml:space="preserve"> 2014</w:t>
            </w:r>
            <w:r w:rsidR="00B14DC8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170655" w:rsidRPr="009A3C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schedule not yet confirmed</w:t>
            </w:r>
          </w:p>
        </w:tc>
      </w:tr>
    </w:tbl>
    <w:p w:rsidR="00CB0C64" w:rsidRPr="009A3CF5" w:rsidRDefault="00CB0C64">
      <w:pPr>
        <w:rPr>
          <w:rFonts w:ascii="Arial" w:hAnsi="Arial" w:cs="Arial"/>
          <w:u w:val="single"/>
        </w:rPr>
      </w:pPr>
    </w:p>
    <w:p w:rsidR="00BA6117" w:rsidRPr="00BC2BCB" w:rsidRDefault="00E87731" w:rsidP="00D44997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BC2BCB">
        <w:rPr>
          <w:rFonts w:ascii="Arial" w:hAnsi="Arial" w:cs="Arial"/>
          <w:u w:val="single"/>
        </w:rPr>
        <w:t xml:space="preserve">Summary and </w:t>
      </w:r>
      <w:r w:rsidR="00C83914" w:rsidRPr="00BC2BCB">
        <w:rPr>
          <w:rFonts w:ascii="Arial" w:hAnsi="Arial" w:cs="Arial"/>
          <w:u w:val="single"/>
        </w:rPr>
        <w:t>Conclusion</w:t>
      </w:r>
    </w:p>
    <w:p w:rsidR="00C83914" w:rsidRPr="00BA6117" w:rsidRDefault="00CB0C64" w:rsidP="00BA61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A6117">
        <w:rPr>
          <w:rFonts w:ascii="Arial" w:hAnsi="Arial" w:cs="Arial"/>
        </w:rPr>
        <w:t>The current delivery of immunisations</w:t>
      </w:r>
      <w:r w:rsidR="00092A2E">
        <w:rPr>
          <w:rFonts w:ascii="Arial" w:hAnsi="Arial" w:cs="Arial"/>
        </w:rPr>
        <w:t xml:space="preserve"> to Norfolk and </w:t>
      </w:r>
      <w:r w:rsidR="00CC6BDE">
        <w:rPr>
          <w:rFonts w:ascii="Arial" w:hAnsi="Arial" w:cs="Arial"/>
        </w:rPr>
        <w:t>G</w:t>
      </w:r>
      <w:r w:rsidR="00092A2E">
        <w:rPr>
          <w:rFonts w:ascii="Arial" w:hAnsi="Arial" w:cs="Arial"/>
        </w:rPr>
        <w:t>reat Yarmouth</w:t>
      </w:r>
      <w:r w:rsidRPr="00BA6117">
        <w:rPr>
          <w:rFonts w:ascii="Arial" w:hAnsi="Arial" w:cs="Arial"/>
        </w:rPr>
        <w:t xml:space="preserve"> is </w:t>
      </w:r>
      <w:r w:rsidR="009A3CF5" w:rsidRPr="00BA6117">
        <w:rPr>
          <w:rFonts w:ascii="Arial" w:hAnsi="Arial" w:cs="Arial"/>
        </w:rPr>
        <w:t>by</w:t>
      </w:r>
      <w:r w:rsidRPr="00BA6117">
        <w:rPr>
          <w:rFonts w:ascii="Arial" w:hAnsi="Arial" w:cs="Arial"/>
        </w:rPr>
        <w:t xml:space="preserve"> </w:t>
      </w:r>
      <w:r w:rsidR="0058564A">
        <w:rPr>
          <w:rFonts w:ascii="Arial" w:hAnsi="Arial" w:cs="Arial"/>
        </w:rPr>
        <w:t xml:space="preserve">three </w:t>
      </w:r>
      <w:r w:rsidR="00C83914" w:rsidRPr="00BA6117">
        <w:rPr>
          <w:rFonts w:ascii="Arial" w:hAnsi="Arial" w:cs="Arial"/>
        </w:rPr>
        <w:t>providers</w:t>
      </w:r>
      <w:r w:rsidRPr="00BA6117">
        <w:rPr>
          <w:rFonts w:ascii="Arial" w:hAnsi="Arial" w:cs="Arial"/>
        </w:rPr>
        <w:t xml:space="preserve"> </w:t>
      </w:r>
      <w:r w:rsidR="009A3CF5" w:rsidRPr="00BA6117">
        <w:rPr>
          <w:rFonts w:ascii="Arial" w:hAnsi="Arial" w:cs="Arial"/>
        </w:rPr>
        <w:t>(plus GPs)</w:t>
      </w:r>
      <w:r w:rsidR="00E87731" w:rsidRPr="00BA6117">
        <w:rPr>
          <w:rFonts w:ascii="Arial" w:hAnsi="Arial" w:cs="Arial"/>
        </w:rPr>
        <w:t xml:space="preserve"> requiring on-going organisation </w:t>
      </w:r>
      <w:r w:rsidR="00483777" w:rsidRPr="00BA6117">
        <w:rPr>
          <w:rFonts w:ascii="Arial" w:hAnsi="Arial" w:cs="Arial"/>
        </w:rPr>
        <w:t>and flexibility by both schools and providers</w:t>
      </w:r>
    </w:p>
    <w:p w:rsidR="00564738" w:rsidRDefault="00CB0C64" w:rsidP="005647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64738">
        <w:rPr>
          <w:rFonts w:ascii="Arial" w:hAnsi="Arial" w:cs="Arial"/>
        </w:rPr>
        <w:t xml:space="preserve">Autumn and </w:t>
      </w:r>
      <w:r w:rsidR="00092A2E" w:rsidRPr="00564738">
        <w:rPr>
          <w:rFonts w:ascii="Arial" w:hAnsi="Arial" w:cs="Arial"/>
        </w:rPr>
        <w:t>s</w:t>
      </w:r>
      <w:r w:rsidRPr="00564738">
        <w:rPr>
          <w:rFonts w:ascii="Arial" w:hAnsi="Arial" w:cs="Arial"/>
        </w:rPr>
        <w:t xml:space="preserve">pring </w:t>
      </w:r>
      <w:r w:rsidR="009A3CF5" w:rsidRPr="00564738">
        <w:rPr>
          <w:rFonts w:ascii="Arial" w:hAnsi="Arial" w:cs="Arial"/>
        </w:rPr>
        <w:t>are the preferred term</w:t>
      </w:r>
      <w:r w:rsidR="00E87731" w:rsidRPr="00564738">
        <w:rPr>
          <w:rFonts w:ascii="Arial" w:hAnsi="Arial" w:cs="Arial"/>
        </w:rPr>
        <w:t xml:space="preserve">s to deliver the service to avoid </w:t>
      </w:r>
      <w:r w:rsidR="00FC4055" w:rsidRPr="00564738">
        <w:rPr>
          <w:rFonts w:ascii="Arial" w:hAnsi="Arial" w:cs="Arial"/>
        </w:rPr>
        <w:t xml:space="preserve">major </w:t>
      </w:r>
      <w:r w:rsidR="00E87731" w:rsidRPr="00564738">
        <w:rPr>
          <w:rFonts w:ascii="Arial" w:hAnsi="Arial" w:cs="Arial"/>
        </w:rPr>
        <w:t xml:space="preserve">examination periods </w:t>
      </w:r>
      <w:r w:rsidR="009C78E4" w:rsidRPr="00564738">
        <w:rPr>
          <w:rFonts w:ascii="Arial" w:hAnsi="Arial" w:cs="Arial"/>
        </w:rPr>
        <w:t xml:space="preserve">but </w:t>
      </w:r>
      <w:r w:rsidR="00564738" w:rsidRPr="00564738">
        <w:rPr>
          <w:rFonts w:ascii="Arial" w:hAnsi="Arial" w:cs="Arial"/>
        </w:rPr>
        <w:t xml:space="preserve">in order to reach as many children as possible; </w:t>
      </w:r>
      <w:r w:rsidR="00564738">
        <w:rPr>
          <w:rFonts w:ascii="Arial" w:hAnsi="Arial" w:cs="Arial"/>
        </w:rPr>
        <w:t xml:space="preserve">parts of </w:t>
      </w:r>
      <w:r w:rsidR="00564738" w:rsidRPr="00564738">
        <w:rPr>
          <w:rFonts w:ascii="Arial" w:hAnsi="Arial" w:cs="Arial"/>
        </w:rPr>
        <w:t xml:space="preserve">the summer term </w:t>
      </w:r>
      <w:r w:rsidR="00564738">
        <w:rPr>
          <w:rFonts w:ascii="Arial" w:hAnsi="Arial" w:cs="Arial"/>
        </w:rPr>
        <w:t>are</w:t>
      </w:r>
      <w:r w:rsidR="00564738" w:rsidRPr="00564738">
        <w:rPr>
          <w:rFonts w:ascii="Arial" w:hAnsi="Arial" w:cs="Arial"/>
        </w:rPr>
        <w:t xml:space="preserve"> also required. </w:t>
      </w:r>
    </w:p>
    <w:p w:rsidR="00D44997" w:rsidRPr="00564738" w:rsidRDefault="00E87731" w:rsidP="005647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64738">
        <w:rPr>
          <w:rFonts w:ascii="Arial" w:hAnsi="Arial" w:cs="Arial"/>
        </w:rPr>
        <w:t>The n</w:t>
      </w:r>
      <w:r w:rsidR="0066118F" w:rsidRPr="00564738">
        <w:rPr>
          <w:rFonts w:ascii="Arial" w:hAnsi="Arial" w:cs="Arial"/>
        </w:rPr>
        <w:t>ext academic year 2014</w:t>
      </w:r>
      <w:r w:rsidR="00872A26" w:rsidRPr="00564738">
        <w:rPr>
          <w:rFonts w:ascii="Arial" w:hAnsi="Arial" w:cs="Arial"/>
        </w:rPr>
        <w:t xml:space="preserve"> </w:t>
      </w:r>
      <w:r w:rsidR="0066118F" w:rsidRPr="00564738">
        <w:rPr>
          <w:rFonts w:ascii="Arial" w:hAnsi="Arial" w:cs="Arial"/>
        </w:rPr>
        <w:t xml:space="preserve">-15 will be the most demanding of peoples’ time and patience </w:t>
      </w:r>
      <w:r w:rsidR="00216950">
        <w:rPr>
          <w:rFonts w:ascii="Arial" w:hAnsi="Arial" w:cs="Arial"/>
        </w:rPr>
        <w:t>if the</w:t>
      </w:r>
      <w:r w:rsidR="009C78E4" w:rsidRPr="00564738">
        <w:rPr>
          <w:rFonts w:ascii="Arial" w:hAnsi="Arial" w:cs="Arial"/>
        </w:rPr>
        <w:t xml:space="preserve"> pilot</w:t>
      </w:r>
      <w:r w:rsidR="0066118F" w:rsidRPr="00564738">
        <w:rPr>
          <w:rFonts w:ascii="Arial" w:hAnsi="Arial" w:cs="Arial"/>
        </w:rPr>
        <w:t xml:space="preserve"> influenza</w:t>
      </w:r>
      <w:r w:rsidR="00FC4055" w:rsidRPr="00564738">
        <w:rPr>
          <w:rFonts w:ascii="Arial" w:hAnsi="Arial" w:cs="Arial"/>
        </w:rPr>
        <w:t xml:space="preserve"> vaccination</w:t>
      </w:r>
      <w:r w:rsidR="0066118F" w:rsidRPr="00564738">
        <w:rPr>
          <w:rFonts w:ascii="Arial" w:hAnsi="Arial" w:cs="Arial"/>
        </w:rPr>
        <w:t xml:space="preserve"> </w:t>
      </w:r>
      <w:r w:rsidR="00216950">
        <w:rPr>
          <w:rFonts w:ascii="Arial" w:hAnsi="Arial" w:cs="Arial"/>
        </w:rPr>
        <w:t xml:space="preserve">commences </w:t>
      </w:r>
      <w:r w:rsidR="0066118F" w:rsidRPr="00564738">
        <w:rPr>
          <w:rFonts w:ascii="Arial" w:hAnsi="Arial" w:cs="Arial"/>
        </w:rPr>
        <w:t>in years 7 &amp; 8</w:t>
      </w:r>
      <w:r w:rsidR="00FC4055" w:rsidRPr="00564738">
        <w:rPr>
          <w:rFonts w:ascii="Arial" w:hAnsi="Arial" w:cs="Arial"/>
        </w:rPr>
        <w:t>.</w:t>
      </w:r>
      <w:r w:rsidR="00022FA3" w:rsidRPr="00564738">
        <w:rPr>
          <w:rFonts w:ascii="Arial" w:hAnsi="Arial" w:cs="Arial"/>
        </w:rPr>
        <w:t xml:space="preserve"> </w:t>
      </w:r>
    </w:p>
    <w:p w:rsidR="00C83914" w:rsidRPr="00D44997" w:rsidRDefault="00C83914" w:rsidP="00D449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44997">
        <w:rPr>
          <w:rFonts w:ascii="Arial" w:hAnsi="Arial" w:cs="Arial"/>
        </w:rPr>
        <w:t xml:space="preserve">Providers of the service have welcomed the support and liaison between themselves and the schools without which the vaccine programmes would not be delivered in </w:t>
      </w:r>
      <w:r w:rsidR="00483777" w:rsidRPr="00D44997">
        <w:rPr>
          <w:rFonts w:ascii="Arial" w:hAnsi="Arial" w:cs="Arial"/>
        </w:rPr>
        <w:t xml:space="preserve">such </w:t>
      </w:r>
      <w:r w:rsidRPr="00D44997">
        <w:rPr>
          <w:rFonts w:ascii="Arial" w:hAnsi="Arial" w:cs="Arial"/>
        </w:rPr>
        <w:t>an equitable and effective manner.</w:t>
      </w:r>
    </w:p>
    <w:p w:rsidR="00E87731" w:rsidRPr="00872A26" w:rsidRDefault="00872A26" w:rsidP="00E87731">
      <w:pPr>
        <w:rPr>
          <w:rFonts w:ascii="Arial" w:hAnsi="Arial" w:cs="Arial"/>
          <w:b/>
          <w:u w:val="single"/>
        </w:rPr>
      </w:pPr>
      <w:r w:rsidRPr="00872A26">
        <w:rPr>
          <w:rFonts w:ascii="Arial" w:hAnsi="Arial" w:cs="Arial"/>
          <w:b/>
        </w:rPr>
        <w:t xml:space="preserve">4.0 </w:t>
      </w:r>
      <w:r w:rsidR="00E87731" w:rsidRPr="00BC2BCB">
        <w:rPr>
          <w:rFonts w:ascii="Arial" w:hAnsi="Arial" w:cs="Arial"/>
          <w:u w:val="single"/>
        </w:rPr>
        <w:t>The future</w:t>
      </w:r>
    </w:p>
    <w:p w:rsidR="0066118F" w:rsidRPr="009A3CF5" w:rsidRDefault="006C3016" w:rsidP="00C83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</w:t>
      </w:r>
      <w:r w:rsidR="00C83914" w:rsidRPr="009A3CF5">
        <w:rPr>
          <w:rFonts w:ascii="Arial" w:hAnsi="Arial" w:cs="Arial"/>
        </w:rPr>
        <w:t>201</w:t>
      </w:r>
      <w:r w:rsidR="00022FA3">
        <w:rPr>
          <w:rFonts w:ascii="Arial" w:hAnsi="Arial" w:cs="Arial"/>
        </w:rPr>
        <w:t>4</w:t>
      </w:r>
      <w:r w:rsidR="00C83914" w:rsidRPr="009A3CF5">
        <w:rPr>
          <w:rFonts w:ascii="Arial" w:hAnsi="Arial" w:cs="Arial"/>
        </w:rPr>
        <w:t>, NHS</w:t>
      </w:r>
      <w:r w:rsidR="00E87731">
        <w:rPr>
          <w:rFonts w:ascii="Arial" w:hAnsi="Arial" w:cs="Arial"/>
        </w:rPr>
        <w:t xml:space="preserve"> </w:t>
      </w:r>
      <w:r w:rsidR="00C83914" w:rsidRPr="009A3CF5">
        <w:rPr>
          <w:rFonts w:ascii="Arial" w:hAnsi="Arial" w:cs="Arial"/>
        </w:rPr>
        <w:t>E</w:t>
      </w:r>
      <w:r w:rsidR="00E87731">
        <w:rPr>
          <w:rFonts w:ascii="Arial" w:hAnsi="Arial" w:cs="Arial"/>
        </w:rPr>
        <w:t>ngland</w:t>
      </w:r>
      <w:r w:rsidR="00C83914" w:rsidRPr="009A3C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="00517468">
        <w:rPr>
          <w:rFonts w:ascii="Arial" w:hAnsi="Arial" w:cs="Arial"/>
        </w:rPr>
        <w:t xml:space="preserve"> consider re-procuring the immunisation service following a full assessment of the current models of delivery. </w:t>
      </w:r>
      <w:bookmarkStart w:id="0" w:name="_GoBack"/>
      <w:bookmarkEnd w:id="0"/>
      <w:r w:rsidR="00D655E4" w:rsidRPr="009A3CF5">
        <w:rPr>
          <w:rFonts w:ascii="Arial" w:hAnsi="Arial" w:cs="Arial"/>
        </w:rPr>
        <w:t xml:space="preserve">The process of procurement is lengthy and NHS England wish to ensure all relevant parties are able to </w:t>
      </w:r>
      <w:r w:rsidR="005F28FC">
        <w:rPr>
          <w:rFonts w:ascii="Arial" w:hAnsi="Arial" w:cs="Arial"/>
        </w:rPr>
        <w:t>engage in this process</w:t>
      </w:r>
    </w:p>
    <w:p w:rsidR="00D655E4" w:rsidRPr="00772D87" w:rsidRDefault="00772D87" w:rsidP="00772D87">
      <w:pPr>
        <w:rPr>
          <w:rFonts w:ascii="Arial" w:hAnsi="Arial" w:cs="Arial"/>
          <w:b/>
          <w:u w:val="single"/>
        </w:rPr>
      </w:pPr>
      <w:r w:rsidRPr="00772D87">
        <w:rPr>
          <w:rFonts w:ascii="Arial" w:hAnsi="Arial" w:cs="Arial"/>
          <w:b/>
        </w:rPr>
        <w:t>5.0</w:t>
      </w:r>
      <w:r w:rsidRPr="00BC2BCB">
        <w:rPr>
          <w:rFonts w:ascii="Arial" w:hAnsi="Arial" w:cs="Arial"/>
          <w:b/>
        </w:rPr>
        <w:t xml:space="preserve"> </w:t>
      </w:r>
      <w:r w:rsidR="00D655E4" w:rsidRPr="00BC2BCB">
        <w:rPr>
          <w:rFonts w:ascii="Arial" w:hAnsi="Arial" w:cs="Arial"/>
          <w:u w:val="single"/>
        </w:rPr>
        <w:t>Actions</w:t>
      </w:r>
    </w:p>
    <w:p w:rsidR="00D655E4" w:rsidRPr="00872A26" w:rsidRDefault="00872A26" w:rsidP="00872A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655E4" w:rsidRPr="00872A26">
        <w:rPr>
          <w:rFonts w:ascii="Arial" w:hAnsi="Arial" w:cs="Arial"/>
        </w:rPr>
        <w:t xml:space="preserve">This paper calls for any willing persons </w:t>
      </w:r>
      <w:r w:rsidR="0066118F" w:rsidRPr="00872A26">
        <w:rPr>
          <w:rFonts w:ascii="Arial" w:hAnsi="Arial" w:cs="Arial"/>
        </w:rPr>
        <w:t xml:space="preserve">to </w:t>
      </w:r>
      <w:r w:rsidR="00D655E4" w:rsidRPr="00872A26">
        <w:rPr>
          <w:rFonts w:ascii="Arial" w:hAnsi="Arial" w:cs="Arial"/>
        </w:rPr>
        <w:t>be included</w:t>
      </w:r>
      <w:r w:rsidR="00087DD2" w:rsidRPr="00872A26">
        <w:rPr>
          <w:rFonts w:ascii="Arial" w:hAnsi="Arial" w:cs="Arial"/>
        </w:rPr>
        <w:t xml:space="preserve"> as representative</w:t>
      </w:r>
      <w:r w:rsidR="00517468">
        <w:rPr>
          <w:rFonts w:ascii="Arial" w:hAnsi="Arial" w:cs="Arial"/>
        </w:rPr>
        <w:t>s</w:t>
      </w:r>
      <w:r w:rsidR="00087DD2" w:rsidRPr="00872A26">
        <w:rPr>
          <w:rFonts w:ascii="Arial" w:hAnsi="Arial" w:cs="Arial"/>
        </w:rPr>
        <w:t xml:space="preserve"> from the educational arena </w:t>
      </w:r>
      <w:r w:rsidR="00933163" w:rsidRPr="00872A26">
        <w:rPr>
          <w:rFonts w:ascii="Arial" w:hAnsi="Arial" w:cs="Arial"/>
        </w:rPr>
        <w:t>during</w:t>
      </w:r>
      <w:r w:rsidR="00D655E4" w:rsidRPr="00872A26">
        <w:rPr>
          <w:rFonts w:ascii="Arial" w:hAnsi="Arial" w:cs="Arial"/>
        </w:rPr>
        <w:t xml:space="preserve"> the process of</w:t>
      </w:r>
      <w:r w:rsidR="00517468">
        <w:rPr>
          <w:rFonts w:ascii="Arial" w:hAnsi="Arial" w:cs="Arial"/>
        </w:rPr>
        <w:t xml:space="preserve"> assessment and</w:t>
      </w:r>
      <w:r w:rsidR="00D655E4" w:rsidRPr="00872A26">
        <w:rPr>
          <w:rFonts w:ascii="Arial" w:hAnsi="Arial" w:cs="Arial"/>
        </w:rPr>
        <w:t xml:space="preserve"> </w:t>
      </w:r>
      <w:r w:rsidR="00933163" w:rsidRPr="00872A26">
        <w:rPr>
          <w:rFonts w:ascii="Arial" w:hAnsi="Arial" w:cs="Arial"/>
        </w:rPr>
        <w:t>procuring</w:t>
      </w:r>
      <w:r w:rsidR="00F551F8">
        <w:rPr>
          <w:rFonts w:ascii="Arial" w:hAnsi="Arial" w:cs="Arial"/>
        </w:rPr>
        <w:t xml:space="preserve">. Please respond via email </w:t>
      </w:r>
      <w:r w:rsidR="00EC55F1">
        <w:rPr>
          <w:rFonts w:ascii="Arial" w:hAnsi="Arial" w:cs="Arial"/>
        </w:rPr>
        <w:t xml:space="preserve">address </w:t>
      </w:r>
      <w:r w:rsidR="00F551F8">
        <w:rPr>
          <w:rFonts w:ascii="Arial" w:hAnsi="Arial" w:cs="Arial"/>
        </w:rPr>
        <w:t>below</w:t>
      </w:r>
      <w:r w:rsidR="00517468">
        <w:rPr>
          <w:rFonts w:ascii="Arial" w:hAnsi="Arial" w:cs="Arial"/>
        </w:rPr>
        <w:t xml:space="preserve"> for further information</w:t>
      </w:r>
      <w:r w:rsidR="00F551F8">
        <w:rPr>
          <w:rFonts w:ascii="Arial" w:hAnsi="Arial" w:cs="Arial"/>
        </w:rPr>
        <w:t>.</w:t>
      </w:r>
    </w:p>
    <w:p w:rsidR="00C83914" w:rsidRPr="00872A26" w:rsidRDefault="00872A26" w:rsidP="00872A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b) NHS</w:t>
      </w:r>
      <w:r w:rsidR="00F551F8">
        <w:rPr>
          <w:rFonts w:ascii="Arial" w:hAnsi="Arial" w:cs="Arial"/>
        </w:rPr>
        <w:t xml:space="preserve"> England and Public Health</w:t>
      </w:r>
      <w:r>
        <w:rPr>
          <w:rFonts w:ascii="Arial" w:hAnsi="Arial" w:cs="Arial"/>
        </w:rPr>
        <w:t xml:space="preserve"> England </w:t>
      </w:r>
      <w:r w:rsidR="00483777" w:rsidRPr="00872A26">
        <w:rPr>
          <w:rFonts w:ascii="Arial" w:hAnsi="Arial" w:cs="Arial"/>
        </w:rPr>
        <w:t>appreciate</w:t>
      </w:r>
      <w:r w:rsidR="0066118F" w:rsidRPr="00872A26">
        <w:rPr>
          <w:rFonts w:ascii="Arial" w:hAnsi="Arial" w:cs="Arial"/>
        </w:rPr>
        <w:t xml:space="preserve"> and ask for on-going support from the </w:t>
      </w:r>
      <w:r w:rsidR="0058564A">
        <w:rPr>
          <w:rFonts w:ascii="Arial" w:hAnsi="Arial" w:cs="Arial"/>
        </w:rPr>
        <w:t>e</w:t>
      </w:r>
      <w:r w:rsidR="0058564A" w:rsidRPr="00872A26">
        <w:rPr>
          <w:rFonts w:ascii="Arial" w:hAnsi="Arial" w:cs="Arial"/>
        </w:rPr>
        <w:t xml:space="preserve">ducation </w:t>
      </w:r>
      <w:r w:rsidR="0066118F" w:rsidRPr="00872A26">
        <w:rPr>
          <w:rFonts w:ascii="Arial" w:hAnsi="Arial" w:cs="Arial"/>
        </w:rPr>
        <w:t>departments and schools across the Norfolk and Great Yarmouth area</w:t>
      </w:r>
      <w:r w:rsidR="00483777" w:rsidRPr="00872A26">
        <w:rPr>
          <w:rFonts w:ascii="Arial" w:hAnsi="Arial" w:cs="Arial"/>
        </w:rPr>
        <w:t xml:space="preserve"> to continue to work closely with the providers of the immunisation programmes.</w:t>
      </w:r>
    </w:p>
    <w:p w:rsidR="00E87731" w:rsidRPr="009C78E4" w:rsidRDefault="00E87731">
      <w:pPr>
        <w:rPr>
          <w:rFonts w:ascii="Arial" w:hAnsi="Arial" w:cs="Arial"/>
          <w:b/>
        </w:rPr>
      </w:pPr>
      <w:r w:rsidRPr="009C78E4">
        <w:rPr>
          <w:rFonts w:ascii="Arial" w:hAnsi="Arial" w:cs="Arial"/>
          <w:b/>
        </w:rPr>
        <w:t>Tracey Cogan</w:t>
      </w:r>
    </w:p>
    <w:p w:rsidR="00E87731" w:rsidRPr="009C78E4" w:rsidRDefault="00E87731">
      <w:pPr>
        <w:rPr>
          <w:rFonts w:ascii="Arial" w:hAnsi="Arial" w:cs="Arial"/>
          <w:b/>
        </w:rPr>
      </w:pPr>
      <w:r w:rsidRPr="009C78E4">
        <w:rPr>
          <w:rFonts w:ascii="Arial" w:hAnsi="Arial" w:cs="Arial"/>
          <w:b/>
        </w:rPr>
        <w:t>Head of Public Health</w:t>
      </w:r>
      <w:r w:rsidR="00FC4055" w:rsidRPr="009C78E4">
        <w:rPr>
          <w:rFonts w:ascii="Arial" w:hAnsi="Arial" w:cs="Arial"/>
          <w:b/>
        </w:rPr>
        <w:t xml:space="preserve">, NHS </w:t>
      </w:r>
      <w:r w:rsidR="00261458" w:rsidRPr="009C78E4">
        <w:rPr>
          <w:rFonts w:ascii="Arial" w:hAnsi="Arial" w:cs="Arial"/>
          <w:b/>
        </w:rPr>
        <w:t xml:space="preserve">England </w:t>
      </w:r>
      <w:r w:rsidR="00EC55F1" w:rsidRPr="009C78E4">
        <w:rPr>
          <w:rFonts w:ascii="Arial" w:hAnsi="Arial" w:cs="Arial"/>
          <w:b/>
        </w:rPr>
        <w:t>email</w:t>
      </w:r>
      <w:r w:rsidR="00FC4055" w:rsidRPr="009C78E4">
        <w:rPr>
          <w:rFonts w:ascii="Arial" w:hAnsi="Arial" w:cs="Arial"/>
          <w:b/>
        </w:rPr>
        <w:t>: charlotte.schwarz@nhs.net</w:t>
      </w:r>
    </w:p>
    <w:sectPr w:rsidR="00E87731" w:rsidRPr="009C78E4" w:rsidSect="0023350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F5" w:rsidRDefault="009A3CF5" w:rsidP="009A3CF5">
      <w:pPr>
        <w:spacing w:after="0" w:line="240" w:lineRule="auto"/>
      </w:pPr>
      <w:r>
        <w:separator/>
      </w:r>
    </w:p>
  </w:endnote>
  <w:endnote w:type="continuationSeparator" w:id="0">
    <w:p w:rsidR="009A3CF5" w:rsidRDefault="009A3CF5" w:rsidP="009A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4259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A3CF5" w:rsidRDefault="009A3CF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468" w:rsidRPr="0051746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A3CF5" w:rsidRDefault="009A3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F5" w:rsidRDefault="009A3CF5" w:rsidP="009A3CF5">
      <w:pPr>
        <w:spacing w:after="0" w:line="240" w:lineRule="auto"/>
      </w:pPr>
      <w:r>
        <w:separator/>
      </w:r>
    </w:p>
  </w:footnote>
  <w:footnote w:type="continuationSeparator" w:id="0">
    <w:p w:rsidR="009A3CF5" w:rsidRDefault="009A3CF5" w:rsidP="009A3CF5">
      <w:pPr>
        <w:spacing w:after="0" w:line="240" w:lineRule="auto"/>
      </w:pPr>
      <w:r>
        <w:continuationSeparator/>
      </w:r>
    </w:p>
  </w:footnote>
  <w:footnote w:id="1">
    <w:p w:rsidR="00E12F4F" w:rsidRDefault="00E12F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CC6BDE" w:rsidRPr="00C14EB1">
          <w:rPr>
            <w:rStyle w:val="Hyperlink"/>
          </w:rPr>
          <w:t>https://www.gov.uk/government/publications/immunisations-at-secondary-school</w:t>
        </w:r>
      </w:hyperlink>
    </w:p>
  </w:footnote>
  <w:footnote w:id="2">
    <w:p w:rsidR="009114A8" w:rsidRDefault="009114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all schedules may require local adaptation in consultation with the school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F5" w:rsidRDefault="00216950" w:rsidP="009A3CF5">
    <w:pPr>
      <w:pStyle w:val="Header"/>
    </w:pPr>
    <w:r>
      <w:t xml:space="preserve">May </w:t>
    </w:r>
    <w:r w:rsidR="009A3CF5">
      <w:t>2014</w:t>
    </w:r>
  </w:p>
  <w:p w:rsidR="009A3CF5" w:rsidRDefault="009A3CF5">
    <w:pPr>
      <w:pStyle w:val="Header"/>
    </w:pPr>
    <w:r>
      <w:t>East Anglia Area Team</w:t>
    </w:r>
    <w:r w:rsidR="00216950">
      <w:t>, NHS England</w:t>
    </w:r>
  </w:p>
  <w:p w:rsidR="009A3CF5" w:rsidRDefault="009A3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5CA1"/>
    <w:multiLevelType w:val="multilevel"/>
    <w:tmpl w:val="942AB0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EEA0C46"/>
    <w:multiLevelType w:val="multilevel"/>
    <w:tmpl w:val="2BE8A96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2">
    <w:nsid w:val="5BE646F0"/>
    <w:multiLevelType w:val="hybridMultilevel"/>
    <w:tmpl w:val="58CA9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341C43"/>
    <w:multiLevelType w:val="hybridMultilevel"/>
    <w:tmpl w:val="66703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20DF4"/>
    <w:multiLevelType w:val="hybridMultilevel"/>
    <w:tmpl w:val="E39EA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9D"/>
    <w:rsid w:val="00022FA3"/>
    <w:rsid w:val="00087DD2"/>
    <w:rsid w:val="00092A2E"/>
    <w:rsid w:val="000F3B24"/>
    <w:rsid w:val="00170655"/>
    <w:rsid w:val="001B4AE9"/>
    <w:rsid w:val="001C50E9"/>
    <w:rsid w:val="00211E8E"/>
    <w:rsid w:val="00216950"/>
    <w:rsid w:val="00233501"/>
    <w:rsid w:val="002538E6"/>
    <w:rsid w:val="00261458"/>
    <w:rsid w:val="002816F3"/>
    <w:rsid w:val="002D083B"/>
    <w:rsid w:val="002F4C57"/>
    <w:rsid w:val="00394132"/>
    <w:rsid w:val="003E2F8E"/>
    <w:rsid w:val="003F42D6"/>
    <w:rsid w:val="0041386A"/>
    <w:rsid w:val="00483777"/>
    <w:rsid w:val="004A379D"/>
    <w:rsid w:val="004A51BD"/>
    <w:rsid w:val="004B1BB7"/>
    <w:rsid w:val="004C15AA"/>
    <w:rsid w:val="00514B30"/>
    <w:rsid w:val="00517468"/>
    <w:rsid w:val="00546F08"/>
    <w:rsid w:val="00564738"/>
    <w:rsid w:val="0058564A"/>
    <w:rsid w:val="005F28FC"/>
    <w:rsid w:val="006278FE"/>
    <w:rsid w:val="0066118F"/>
    <w:rsid w:val="00683EAE"/>
    <w:rsid w:val="00697E00"/>
    <w:rsid w:val="006C3016"/>
    <w:rsid w:val="006E45C3"/>
    <w:rsid w:val="00772D87"/>
    <w:rsid w:val="00872A26"/>
    <w:rsid w:val="008B2DB7"/>
    <w:rsid w:val="009114A8"/>
    <w:rsid w:val="00933163"/>
    <w:rsid w:val="009A3CF5"/>
    <w:rsid w:val="009B3465"/>
    <w:rsid w:val="009C78E4"/>
    <w:rsid w:val="00A56B76"/>
    <w:rsid w:val="00AA2CF9"/>
    <w:rsid w:val="00AE4B7A"/>
    <w:rsid w:val="00B14DC8"/>
    <w:rsid w:val="00BA6117"/>
    <w:rsid w:val="00BC2BCB"/>
    <w:rsid w:val="00BF694D"/>
    <w:rsid w:val="00C43FF9"/>
    <w:rsid w:val="00C83914"/>
    <w:rsid w:val="00CB0C64"/>
    <w:rsid w:val="00CC6BDE"/>
    <w:rsid w:val="00D44997"/>
    <w:rsid w:val="00D655E4"/>
    <w:rsid w:val="00DD5E5B"/>
    <w:rsid w:val="00E12F4F"/>
    <w:rsid w:val="00E62EEC"/>
    <w:rsid w:val="00E87731"/>
    <w:rsid w:val="00EC55F1"/>
    <w:rsid w:val="00EE022B"/>
    <w:rsid w:val="00F5007E"/>
    <w:rsid w:val="00F551F8"/>
    <w:rsid w:val="00F77631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3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CF5"/>
  </w:style>
  <w:style w:type="paragraph" w:styleId="Footer">
    <w:name w:val="footer"/>
    <w:basedOn w:val="Normal"/>
    <w:link w:val="FooterChar"/>
    <w:uiPriority w:val="99"/>
    <w:unhideWhenUsed/>
    <w:rsid w:val="009A3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CF5"/>
  </w:style>
  <w:style w:type="character" w:styleId="Hyperlink">
    <w:name w:val="Hyperlink"/>
    <w:basedOn w:val="DefaultParagraphFont"/>
    <w:uiPriority w:val="99"/>
    <w:unhideWhenUsed/>
    <w:rsid w:val="00E877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2F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F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2F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E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B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B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B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3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CF5"/>
  </w:style>
  <w:style w:type="paragraph" w:styleId="Footer">
    <w:name w:val="footer"/>
    <w:basedOn w:val="Normal"/>
    <w:link w:val="FooterChar"/>
    <w:uiPriority w:val="99"/>
    <w:unhideWhenUsed/>
    <w:rsid w:val="009A3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CF5"/>
  </w:style>
  <w:style w:type="character" w:styleId="Hyperlink">
    <w:name w:val="Hyperlink"/>
    <w:basedOn w:val="DefaultParagraphFont"/>
    <w:uiPriority w:val="99"/>
    <w:unhideWhenUsed/>
    <w:rsid w:val="00E877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2F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F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2F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E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B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B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accinestoday.eu/vaccines/what-is-herd-immunity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immunisations-at-secondary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6F84-2D44-4BD0-BF9B-F9AEC26C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Mossop</dc:creator>
  <cp:lastModifiedBy>Sarah Mossop</cp:lastModifiedBy>
  <cp:revision>2</cp:revision>
  <dcterms:created xsi:type="dcterms:W3CDTF">2014-05-13T10:52:00Z</dcterms:created>
  <dcterms:modified xsi:type="dcterms:W3CDTF">2014-05-13T10:52:00Z</dcterms:modified>
</cp:coreProperties>
</file>